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50C5C" w14:textId="77777777" w:rsidR="00C4770E" w:rsidRPr="00A70A1F" w:rsidRDefault="00C4770E" w:rsidP="00DC09C0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 w:rsidRPr="00A70A1F">
        <w:rPr>
          <w:rFonts w:ascii="Times New Roman" w:hAnsi="Times New Roman" w:cs="Times New Roman"/>
          <w:color w:val="auto"/>
          <w:lang w:eastAsia="en-US"/>
        </w:rPr>
        <w:t>МИНИСТЕРСТВО ЗДРАВООХРАНЕНИЯ РОССИЙСКОЙ ФЕДЕРАЦИИ</w:t>
      </w:r>
    </w:p>
    <w:p w14:paraId="24B81E82" w14:textId="77777777" w:rsidR="00DC09C0" w:rsidRPr="00A70A1F" w:rsidRDefault="00DC09C0" w:rsidP="00DC09C0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14:paraId="46772915" w14:textId="77777777" w:rsidR="00A70A1F" w:rsidRPr="00A70A1F" w:rsidRDefault="00C4770E" w:rsidP="00C679B3">
      <w:pPr>
        <w:widowControl/>
        <w:spacing w:line="360" w:lineRule="auto"/>
        <w:jc w:val="center"/>
        <w:rPr>
          <w:rStyle w:val="a5"/>
          <w:b w:val="0"/>
          <w:color w:val="auto"/>
          <w:sz w:val="24"/>
          <w:szCs w:val="24"/>
        </w:rPr>
      </w:pPr>
      <w:r w:rsidRPr="00A70A1F">
        <w:rPr>
          <w:rFonts w:ascii="Times New Roman" w:hAnsi="Times New Roman" w:cs="Times New Roman"/>
          <w:color w:val="auto"/>
          <w:lang w:eastAsia="en-US"/>
        </w:rPr>
        <w:t>ИНСТРУКЦИЯ</w:t>
      </w:r>
      <w:r w:rsidR="00C679B3" w:rsidRPr="00A70A1F">
        <w:rPr>
          <w:rFonts w:ascii="Times New Roman" w:hAnsi="Times New Roman" w:cs="Times New Roman"/>
          <w:color w:val="auto"/>
          <w:lang w:eastAsia="en-US"/>
        </w:rPr>
        <w:t xml:space="preserve"> ПО МЕДИЦИНСКОМУ ПРИМЕНЕНИЮ ЛЕКАРСТВЕННОГО ПРЕПАРАТА</w:t>
      </w:r>
    </w:p>
    <w:p w14:paraId="646FEBE2" w14:textId="62CFDC76" w:rsidR="00443D41" w:rsidRPr="00A70A1F" w:rsidRDefault="00A70A1F" w:rsidP="00C679B3">
      <w:pPr>
        <w:widowControl/>
        <w:spacing w:line="360" w:lineRule="auto"/>
        <w:jc w:val="center"/>
        <w:rPr>
          <w:rStyle w:val="a5"/>
          <w:color w:val="auto"/>
          <w:sz w:val="24"/>
          <w:szCs w:val="24"/>
        </w:rPr>
      </w:pPr>
      <w:r w:rsidRPr="00A70A1F">
        <w:rPr>
          <w:rStyle w:val="a5"/>
          <w:b w:val="0"/>
          <w:color w:val="auto"/>
          <w:sz w:val="24"/>
          <w:szCs w:val="24"/>
        </w:rPr>
        <w:t>Д</w:t>
      </w:r>
      <w:r w:rsidR="007A3336" w:rsidRPr="00A70A1F">
        <w:rPr>
          <w:rStyle w:val="a5"/>
          <w:b w:val="0"/>
          <w:color w:val="auto"/>
          <w:sz w:val="24"/>
          <w:szCs w:val="24"/>
        </w:rPr>
        <w:t>ез</w:t>
      </w:r>
      <w:r w:rsidRPr="00A70A1F">
        <w:rPr>
          <w:rStyle w:val="a5"/>
          <w:b w:val="0"/>
          <w:color w:val="auto"/>
          <w:sz w:val="24"/>
          <w:szCs w:val="24"/>
        </w:rPr>
        <w:t>Г</w:t>
      </w:r>
      <w:r w:rsidR="007A3336" w:rsidRPr="00A70A1F">
        <w:rPr>
          <w:rStyle w:val="a5"/>
          <w:b w:val="0"/>
          <w:color w:val="auto"/>
          <w:sz w:val="24"/>
          <w:szCs w:val="24"/>
        </w:rPr>
        <w:t>риппин</w:t>
      </w:r>
      <w:r w:rsidRPr="00A70A1F">
        <w:rPr>
          <w:rStyle w:val="a5"/>
          <w:b w:val="0"/>
          <w:color w:val="auto"/>
          <w:sz w:val="24"/>
          <w:szCs w:val="24"/>
          <w:vertAlign w:val="superscript"/>
        </w:rPr>
        <w:t>®</w:t>
      </w:r>
    </w:p>
    <w:p w14:paraId="34B93477" w14:textId="77777777" w:rsidR="00C679B3" w:rsidRPr="00A70A1F" w:rsidRDefault="00C679B3" w:rsidP="00DC09C0">
      <w:pPr>
        <w:pStyle w:val="a4"/>
        <w:shd w:val="clear" w:color="auto" w:fill="auto"/>
        <w:spacing w:after="0" w:line="360" w:lineRule="auto"/>
        <w:ind w:firstLine="0"/>
        <w:rPr>
          <w:sz w:val="24"/>
          <w:szCs w:val="24"/>
        </w:rPr>
      </w:pPr>
    </w:p>
    <w:p w14:paraId="401E7A45" w14:textId="31D1E839" w:rsidR="00443D41" w:rsidRPr="00A70A1F" w:rsidRDefault="00443D41" w:rsidP="00985B18">
      <w:pPr>
        <w:pStyle w:val="20"/>
        <w:shd w:val="clear" w:color="auto" w:fill="auto"/>
        <w:spacing w:line="360" w:lineRule="auto"/>
        <w:ind w:left="23"/>
        <w:jc w:val="left"/>
        <w:rPr>
          <w:sz w:val="24"/>
          <w:szCs w:val="24"/>
        </w:rPr>
      </w:pPr>
      <w:r w:rsidRPr="00A70A1F">
        <w:rPr>
          <w:rStyle w:val="2"/>
          <w:b/>
          <w:bCs/>
          <w:sz w:val="24"/>
          <w:szCs w:val="24"/>
        </w:rPr>
        <w:t>Регистрационный номер:</w:t>
      </w:r>
      <w:r w:rsidR="00240180">
        <w:rPr>
          <w:rStyle w:val="2"/>
          <w:b/>
          <w:bCs/>
          <w:sz w:val="24"/>
          <w:szCs w:val="24"/>
        </w:rPr>
        <w:t xml:space="preserve"> </w:t>
      </w:r>
      <w:r w:rsidR="00240180" w:rsidRPr="00240180">
        <w:rPr>
          <w:rStyle w:val="21"/>
          <w:b w:val="0"/>
          <w:sz w:val="24"/>
          <w:szCs w:val="24"/>
        </w:rPr>
        <w:t>ЛП-005789</w:t>
      </w:r>
    </w:p>
    <w:p w14:paraId="6C457604" w14:textId="77777777" w:rsidR="00443D41" w:rsidRPr="00A70A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A70A1F">
        <w:rPr>
          <w:rStyle w:val="2"/>
          <w:b/>
          <w:bCs/>
          <w:sz w:val="24"/>
          <w:szCs w:val="24"/>
        </w:rPr>
        <w:t xml:space="preserve">Торговое </w:t>
      </w:r>
      <w:r w:rsidR="00985B18" w:rsidRPr="00A70A1F">
        <w:rPr>
          <w:rStyle w:val="2"/>
          <w:b/>
          <w:bCs/>
          <w:sz w:val="24"/>
          <w:szCs w:val="24"/>
        </w:rPr>
        <w:t>наименование</w:t>
      </w:r>
      <w:r w:rsidRPr="00A70A1F">
        <w:rPr>
          <w:rStyle w:val="2"/>
          <w:b/>
          <w:bCs/>
          <w:sz w:val="24"/>
          <w:szCs w:val="24"/>
        </w:rPr>
        <w:t xml:space="preserve">: </w:t>
      </w:r>
      <w:r w:rsidR="00A70A1F" w:rsidRPr="00A70A1F">
        <w:rPr>
          <w:rStyle w:val="21"/>
          <w:b w:val="0"/>
          <w:bCs w:val="0"/>
          <w:sz w:val="24"/>
          <w:szCs w:val="24"/>
        </w:rPr>
        <w:t>Дез</w:t>
      </w:r>
      <w:r w:rsidR="00EC4665">
        <w:rPr>
          <w:rStyle w:val="21"/>
          <w:b w:val="0"/>
          <w:bCs w:val="0"/>
          <w:sz w:val="24"/>
          <w:szCs w:val="24"/>
        </w:rPr>
        <w:t>Г</w:t>
      </w:r>
      <w:r w:rsidR="00A70A1F" w:rsidRPr="00A70A1F">
        <w:rPr>
          <w:rStyle w:val="21"/>
          <w:b w:val="0"/>
          <w:bCs w:val="0"/>
          <w:sz w:val="24"/>
          <w:szCs w:val="24"/>
        </w:rPr>
        <w:t>риппин</w:t>
      </w:r>
      <w:r w:rsidR="00A70A1F" w:rsidRPr="00585607">
        <w:rPr>
          <w:rStyle w:val="21"/>
          <w:b w:val="0"/>
          <w:bCs w:val="0"/>
          <w:sz w:val="24"/>
          <w:szCs w:val="24"/>
          <w:vertAlign w:val="superscript"/>
        </w:rPr>
        <w:t>®</w:t>
      </w:r>
    </w:p>
    <w:p w14:paraId="3FCD6633" w14:textId="77777777" w:rsidR="00A70A1F" w:rsidRPr="00A70A1F" w:rsidRDefault="00443D41" w:rsidP="00A70A1F">
      <w:pPr>
        <w:pStyle w:val="Default"/>
        <w:spacing w:line="360" w:lineRule="auto"/>
        <w:jc w:val="both"/>
        <w:rPr>
          <w:rStyle w:val="2"/>
          <w:color w:val="auto"/>
          <w:sz w:val="24"/>
          <w:szCs w:val="24"/>
        </w:rPr>
      </w:pPr>
      <w:r w:rsidRPr="00A70A1F">
        <w:rPr>
          <w:rStyle w:val="2"/>
          <w:color w:val="auto"/>
          <w:sz w:val="24"/>
          <w:szCs w:val="24"/>
        </w:rPr>
        <w:t xml:space="preserve">Международное непатентованное или группировочное </w:t>
      </w:r>
      <w:r w:rsidR="00985B18" w:rsidRPr="00A70A1F">
        <w:rPr>
          <w:rStyle w:val="2"/>
          <w:color w:val="auto"/>
          <w:sz w:val="24"/>
          <w:szCs w:val="24"/>
        </w:rPr>
        <w:t>наименование</w:t>
      </w:r>
      <w:r w:rsidRPr="00A70A1F">
        <w:rPr>
          <w:rStyle w:val="2"/>
          <w:color w:val="auto"/>
          <w:sz w:val="24"/>
          <w:szCs w:val="24"/>
        </w:rPr>
        <w:t>:</w:t>
      </w:r>
    </w:p>
    <w:p w14:paraId="45D677FC" w14:textId="77777777" w:rsidR="00A70A1F" w:rsidRPr="00A70A1F" w:rsidRDefault="00A70A1F" w:rsidP="0059221B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  <w:r>
        <w:t>Парацетамол+Хлорфенамин+</w:t>
      </w:r>
      <w:r w:rsidRPr="00AD594D">
        <w:t>[</w:t>
      </w:r>
      <w:r>
        <w:t>Аскорбиновая кислота</w:t>
      </w:r>
      <w:r w:rsidRPr="00AD594D">
        <w:t>]</w:t>
      </w:r>
      <w:r>
        <w:t xml:space="preserve"> </w:t>
      </w:r>
    </w:p>
    <w:p w14:paraId="4FC5E6FF" w14:textId="77777777" w:rsidR="00443D41" w:rsidRPr="00A70A1F" w:rsidRDefault="00443D41" w:rsidP="00AB3706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A70A1F">
        <w:rPr>
          <w:rStyle w:val="2"/>
          <w:b/>
          <w:bCs/>
          <w:sz w:val="24"/>
          <w:szCs w:val="24"/>
        </w:rPr>
        <w:t xml:space="preserve">Лекарственная форма: </w:t>
      </w:r>
      <w:r w:rsidR="00A70A1F" w:rsidRPr="00A70A1F">
        <w:rPr>
          <w:rStyle w:val="21"/>
          <w:b w:val="0"/>
          <w:bCs w:val="0"/>
          <w:sz w:val="24"/>
          <w:szCs w:val="24"/>
        </w:rPr>
        <w:t xml:space="preserve">порошок для </w:t>
      </w:r>
      <w:bookmarkStart w:id="0" w:name="_GoBack"/>
      <w:bookmarkEnd w:id="0"/>
      <w:r w:rsidR="00A70A1F" w:rsidRPr="00A70A1F">
        <w:rPr>
          <w:rStyle w:val="21"/>
          <w:b w:val="0"/>
          <w:bCs w:val="0"/>
          <w:sz w:val="24"/>
          <w:szCs w:val="24"/>
        </w:rPr>
        <w:t>приготовления раствора для приема внутрь</w:t>
      </w:r>
      <w:r w:rsidR="00AB3706">
        <w:rPr>
          <w:rStyle w:val="21"/>
          <w:b w:val="0"/>
          <w:bCs w:val="0"/>
          <w:sz w:val="24"/>
          <w:szCs w:val="24"/>
        </w:rPr>
        <w:t xml:space="preserve"> </w:t>
      </w:r>
      <w:r w:rsidR="00AB3706" w:rsidRPr="00AB3706">
        <w:rPr>
          <w:rStyle w:val="21"/>
          <w:b w:val="0"/>
          <w:bCs w:val="0"/>
          <w:sz w:val="24"/>
          <w:szCs w:val="24"/>
        </w:rPr>
        <w:t>[со вкусом лайма, со вкусом лимона и меда, со вкусом клюквы, со вкусом малины]</w:t>
      </w:r>
      <w:r w:rsidR="00B41A0D">
        <w:rPr>
          <w:rStyle w:val="21"/>
          <w:b w:val="0"/>
          <w:bCs w:val="0"/>
          <w:sz w:val="24"/>
          <w:szCs w:val="24"/>
        </w:rPr>
        <w:t>.</w:t>
      </w:r>
    </w:p>
    <w:p w14:paraId="763BA66A" w14:textId="77777777" w:rsidR="00443D41" w:rsidRPr="00A70A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A70A1F">
        <w:rPr>
          <w:rStyle w:val="2"/>
          <w:b/>
          <w:bCs/>
          <w:sz w:val="24"/>
          <w:szCs w:val="24"/>
        </w:rPr>
        <w:t>Состав</w:t>
      </w:r>
      <w:r w:rsidR="00575503" w:rsidRPr="00A70A1F">
        <w:rPr>
          <w:rStyle w:val="2"/>
          <w:b/>
          <w:bCs/>
          <w:sz w:val="24"/>
          <w:szCs w:val="24"/>
        </w:rPr>
        <w:t xml:space="preserve"> (на од</w:t>
      </w:r>
      <w:r w:rsidR="00A70A1F" w:rsidRPr="00A70A1F">
        <w:rPr>
          <w:rStyle w:val="2"/>
          <w:b/>
          <w:bCs/>
          <w:sz w:val="24"/>
          <w:szCs w:val="24"/>
        </w:rPr>
        <w:t>ин</w:t>
      </w:r>
      <w:r w:rsidR="00575503" w:rsidRPr="00A70A1F">
        <w:rPr>
          <w:rStyle w:val="2"/>
          <w:b/>
          <w:bCs/>
          <w:sz w:val="24"/>
          <w:szCs w:val="24"/>
        </w:rPr>
        <w:t xml:space="preserve"> </w:t>
      </w:r>
      <w:r w:rsidR="00A70A1F" w:rsidRPr="00A70A1F">
        <w:rPr>
          <w:rStyle w:val="2"/>
          <w:b/>
          <w:bCs/>
          <w:sz w:val="24"/>
          <w:szCs w:val="24"/>
        </w:rPr>
        <w:t>пакетик</w:t>
      </w:r>
      <w:r w:rsidR="00575503" w:rsidRPr="00A70A1F">
        <w:rPr>
          <w:rStyle w:val="2"/>
          <w:b/>
          <w:bCs/>
          <w:sz w:val="24"/>
          <w:szCs w:val="24"/>
        </w:rPr>
        <w:t>)</w:t>
      </w:r>
      <w:r w:rsidRPr="00A70A1F">
        <w:rPr>
          <w:rStyle w:val="2"/>
          <w:b/>
          <w:bCs/>
          <w:sz w:val="24"/>
          <w:szCs w:val="24"/>
        </w:rPr>
        <w:t>:</w:t>
      </w:r>
    </w:p>
    <w:p w14:paraId="696C3248" w14:textId="77777777" w:rsidR="00443D41" w:rsidRPr="00A70A1F" w:rsidRDefault="00985B18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A70A1F">
        <w:rPr>
          <w:rStyle w:val="a6"/>
          <w:sz w:val="24"/>
          <w:szCs w:val="24"/>
        </w:rPr>
        <w:t>Действующие</w:t>
      </w:r>
      <w:r w:rsidR="00443D41" w:rsidRPr="00A70A1F">
        <w:rPr>
          <w:rStyle w:val="a6"/>
          <w:sz w:val="24"/>
          <w:szCs w:val="24"/>
        </w:rPr>
        <w:t xml:space="preserve"> вещества: </w:t>
      </w:r>
      <w:r w:rsidR="00C4770E" w:rsidRPr="00A70A1F">
        <w:rPr>
          <w:rStyle w:val="1"/>
          <w:sz w:val="24"/>
          <w:szCs w:val="24"/>
        </w:rPr>
        <w:t xml:space="preserve">парацетамол </w:t>
      </w:r>
      <w:r w:rsidR="00E562A1" w:rsidRPr="00A70A1F">
        <w:rPr>
          <w:rStyle w:val="1"/>
          <w:sz w:val="24"/>
          <w:szCs w:val="24"/>
        </w:rPr>
        <w:t>–</w:t>
      </w:r>
      <w:r w:rsidR="00C4770E" w:rsidRPr="00A70A1F">
        <w:rPr>
          <w:rStyle w:val="1"/>
          <w:sz w:val="24"/>
          <w:szCs w:val="24"/>
        </w:rPr>
        <w:t xml:space="preserve"> </w:t>
      </w:r>
      <w:r w:rsidR="00A70A1F" w:rsidRPr="00A70A1F">
        <w:rPr>
          <w:rStyle w:val="1"/>
          <w:sz w:val="24"/>
          <w:szCs w:val="24"/>
        </w:rPr>
        <w:t>500,0</w:t>
      </w:r>
      <w:r w:rsidR="00443D41" w:rsidRPr="00A70A1F">
        <w:rPr>
          <w:rStyle w:val="1"/>
          <w:sz w:val="24"/>
          <w:szCs w:val="24"/>
        </w:rPr>
        <w:t xml:space="preserve"> </w:t>
      </w:r>
      <w:r w:rsidR="00C4770E" w:rsidRPr="00A70A1F">
        <w:rPr>
          <w:rStyle w:val="1"/>
          <w:sz w:val="24"/>
          <w:szCs w:val="24"/>
        </w:rPr>
        <w:t>м</w:t>
      </w:r>
      <w:r w:rsidR="00443D41" w:rsidRPr="00A70A1F">
        <w:rPr>
          <w:rStyle w:val="1"/>
          <w:sz w:val="24"/>
          <w:szCs w:val="24"/>
        </w:rPr>
        <w:t>г</w:t>
      </w:r>
      <w:r w:rsidR="00A70A1F" w:rsidRPr="00A70A1F">
        <w:rPr>
          <w:rStyle w:val="1"/>
          <w:sz w:val="24"/>
          <w:szCs w:val="24"/>
        </w:rPr>
        <w:t>;</w:t>
      </w:r>
      <w:r w:rsidRPr="00A70A1F">
        <w:rPr>
          <w:rStyle w:val="1"/>
          <w:sz w:val="24"/>
          <w:szCs w:val="24"/>
        </w:rPr>
        <w:t xml:space="preserve"> </w:t>
      </w:r>
      <w:r w:rsidR="00A70A1F" w:rsidRPr="00A70A1F">
        <w:rPr>
          <w:rStyle w:val="1"/>
          <w:sz w:val="24"/>
          <w:szCs w:val="24"/>
        </w:rPr>
        <w:t>хлорфенамина малеат – 10,0 мг; аскорбиновая кислота – 200,0 мг</w:t>
      </w:r>
      <w:r w:rsidR="00443D41" w:rsidRPr="00A70A1F">
        <w:rPr>
          <w:rStyle w:val="1"/>
          <w:sz w:val="24"/>
          <w:szCs w:val="24"/>
        </w:rPr>
        <w:t>.</w:t>
      </w:r>
    </w:p>
    <w:p w14:paraId="76D1E512" w14:textId="77777777" w:rsidR="00443D41" w:rsidRPr="002C0795" w:rsidRDefault="00443D41" w:rsidP="009A20EB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A70A1F">
        <w:rPr>
          <w:rStyle w:val="a6"/>
          <w:sz w:val="24"/>
          <w:szCs w:val="24"/>
        </w:rPr>
        <w:t>Вспомогательные вещества:</w:t>
      </w:r>
      <w:r w:rsidR="00585607" w:rsidRPr="00585607">
        <w:rPr>
          <w:rStyle w:val="a6"/>
          <w:sz w:val="24"/>
          <w:szCs w:val="24"/>
        </w:rPr>
        <w:t xml:space="preserve"> </w:t>
      </w:r>
      <w:r w:rsidR="009A20EB" w:rsidRPr="009A20EB">
        <w:rPr>
          <w:rStyle w:val="1"/>
          <w:sz w:val="24"/>
          <w:szCs w:val="24"/>
        </w:rPr>
        <w:t>аспартам</w:t>
      </w:r>
      <w:r w:rsidR="009A20EB">
        <w:rPr>
          <w:rStyle w:val="1"/>
          <w:sz w:val="24"/>
          <w:szCs w:val="24"/>
        </w:rPr>
        <w:t xml:space="preserve"> – </w:t>
      </w:r>
      <w:r w:rsidR="009A20EB" w:rsidRPr="009A20EB">
        <w:rPr>
          <w:rStyle w:val="1"/>
          <w:sz w:val="24"/>
          <w:szCs w:val="24"/>
        </w:rPr>
        <w:t>30,9 мг</w:t>
      </w:r>
      <w:r w:rsidR="009A20EB">
        <w:rPr>
          <w:rStyle w:val="1"/>
          <w:sz w:val="24"/>
          <w:szCs w:val="24"/>
        </w:rPr>
        <w:t>;</w:t>
      </w:r>
      <w:r w:rsidR="002C0795">
        <w:rPr>
          <w:rStyle w:val="1"/>
          <w:sz w:val="24"/>
          <w:szCs w:val="24"/>
        </w:rPr>
        <w:t xml:space="preserve"> ацесульфам калия – 30,9 мг; повидон К-30 – 31,5 мг;</w:t>
      </w:r>
      <w:r w:rsidR="009A20EB">
        <w:rPr>
          <w:rStyle w:val="1"/>
          <w:sz w:val="24"/>
          <w:szCs w:val="24"/>
        </w:rPr>
        <w:t xml:space="preserve"> </w:t>
      </w:r>
      <w:r w:rsidR="009A20EB" w:rsidRPr="009A20EB">
        <w:rPr>
          <w:rStyle w:val="1"/>
          <w:sz w:val="24"/>
          <w:szCs w:val="24"/>
        </w:rPr>
        <w:t>кремния диоксид коллоидный</w:t>
      </w:r>
      <w:r w:rsidR="009A20EB">
        <w:rPr>
          <w:rStyle w:val="1"/>
          <w:sz w:val="24"/>
          <w:szCs w:val="24"/>
        </w:rPr>
        <w:t xml:space="preserve"> – 2</w:t>
      </w:r>
      <w:r w:rsidR="009A20EB" w:rsidRPr="009A20EB">
        <w:rPr>
          <w:rStyle w:val="1"/>
          <w:sz w:val="24"/>
          <w:szCs w:val="24"/>
        </w:rPr>
        <w:t>0,6 мг</w:t>
      </w:r>
      <w:r w:rsidR="009A20EB">
        <w:rPr>
          <w:rStyle w:val="1"/>
          <w:sz w:val="24"/>
          <w:szCs w:val="24"/>
        </w:rPr>
        <w:t xml:space="preserve">; </w:t>
      </w:r>
      <w:r w:rsidR="009A20EB" w:rsidRPr="009A20EB">
        <w:rPr>
          <w:rStyle w:val="1"/>
          <w:sz w:val="24"/>
          <w:szCs w:val="24"/>
        </w:rPr>
        <w:t>лактозы моногидрат</w:t>
      </w:r>
      <w:r w:rsidR="009A20EB">
        <w:rPr>
          <w:rStyle w:val="1"/>
          <w:sz w:val="24"/>
          <w:szCs w:val="24"/>
        </w:rPr>
        <w:t xml:space="preserve"> – </w:t>
      </w:r>
      <w:r w:rsidR="002C0795">
        <w:rPr>
          <w:rStyle w:val="1"/>
          <w:sz w:val="24"/>
          <w:szCs w:val="24"/>
        </w:rPr>
        <w:t>4126,1</w:t>
      </w:r>
      <w:r w:rsidR="009A20EB" w:rsidRPr="009A20EB">
        <w:rPr>
          <w:rStyle w:val="1"/>
          <w:sz w:val="24"/>
          <w:szCs w:val="24"/>
        </w:rPr>
        <w:t xml:space="preserve"> мг</w:t>
      </w:r>
      <w:r w:rsidR="009A20EB">
        <w:rPr>
          <w:rStyle w:val="1"/>
          <w:sz w:val="24"/>
          <w:szCs w:val="24"/>
        </w:rPr>
        <w:t xml:space="preserve">; </w:t>
      </w:r>
      <w:r w:rsidR="009A20EB" w:rsidRPr="009A20EB">
        <w:rPr>
          <w:rStyle w:val="1"/>
          <w:sz w:val="24"/>
          <w:szCs w:val="24"/>
        </w:rPr>
        <w:t>ароматизатор</w:t>
      </w:r>
      <w:r w:rsidR="002C0795">
        <w:rPr>
          <w:rStyle w:val="1"/>
          <w:sz w:val="24"/>
          <w:szCs w:val="24"/>
        </w:rPr>
        <w:t xml:space="preserve"> Лимон-лайм или Лимон-мед (ароматизаторы лимон и мед в соотношении </w:t>
      </w:r>
      <w:r w:rsidR="00EC4665">
        <w:rPr>
          <w:rStyle w:val="1"/>
          <w:sz w:val="24"/>
          <w:szCs w:val="24"/>
        </w:rPr>
        <w:t>1:1</w:t>
      </w:r>
      <w:r w:rsidR="002C0795">
        <w:rPr>
          <w:rStyle w:val="1"/>
          <w:sz w:val="24"/>
          <w:szCs w:val="24"/>
        </w:rPr>
        <w:t>) или Малина или Клюква</w:t>
      </w:r>
      <w:r w:rsidR="009A20EB">
        <w:rPr>
          <w:rStyle w:val="1"/>
          <w:sz w:val="24"/>
          <w:szCs w:val="24"/>
        </w:rPr>
        <w:t xml:space="preserve"> – </w:t>
      </w:r>
      <w:r w:rsidR="002C0795">
        <w:rPr>
          <w:rStyle w:val="1"/>
          <w:sz w:val="24"/>
          <w:szCs w:val="24"/>
        </w:rPr>
        <w:t>50</w:t>
      </w:r>
      <w:r w:rsidR="009A20EB" w:rsidRPr="009A20EB">
        <w:rPr>
          <w:rStyle w:val="1"/>
          <w:sz w:val="24"/>
          <w:szCs w:val="24"/>
        </w:rPr>
        <w:t>,</w:t>
      </w:r>
      <w:r w:rsidR="002C0795">
        <w:rPr>
          <w:rStyle w:val="1"/>
          <w:sz w:val="24"/>
          <w:szCs w:val="24"/>
        </w:rPr>
        <w:t>0</w:t>
      </w:r>
      <w:r w:rsidR="009A20EB" w:rsidRPr="009A20EB">
        <w:rPr>
          <w:rStyle w:val="1"/>
          <w:sz w:val="24"/>
          <w:szCs w:val="24"/>
        </w:rPr>
        <w:t xml:space="preserve"> мг</w:t>
      </w:r>
      <w:r w:rsidR="009A20EB">
        <w:rPr>
          <w:rStyle w:val="1"/>
          <w:sz w:val="24"/>
          <w:szCs w:val="24"/>
        </w:rPr>
        <w:t>.</w:t>
      </w:r>
    </w:p>
    <w:p w14:paraId="6D4DD979" w14:textId="77777777" w:rsidR="00443D41" w:rsidRPr="00A70A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A70A1F">
        <w:rPr>
          <w:rStyle w:val="2"/>
          <w:b/>
          <w:bCs/>
          <w:sz w:val="24"/>
          <w:szCs w:val="24"/>
        </w:rPr>
        <w:t>Описание</w:t>
      </w:r>
    </w:p>
    <w:p w14:paraId="5E9CF390" w14:textId="7584DE8C" w:rsidR="00443D41" w:rsidRPr="00A70A1F" w:rsidRDefault="00EC4665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EC4665">
        <w:rPr>
          <w:rStyle w:val="1"/>
          <w:sz w:val="24"/>
          <w:szCs w:val="24"/>
        </w:rPr>
        <w:t xml:space="preserve">Смесь порошка и гранул от белого до </w:t>
      </w:r>
      <w:r w:rsidR="003111F5">
        <w:rPr>
          <w:rStyle w:val="1"/>
          <w:sz w:val="24"/>
          <w:szCs w:val="24"/>
        </w:rPr>
        <w:t>розового</w:t>
      </w:r>
      <w:r>
        <w:rPr>
          <w:rStyle w:val="1"/>
          <w:sz w:val="24"/>
          <w:szCs w:val="24"/>
        </w:rPr>
        <w:t xml:space="preserve"> цвета, со специфическим за</w:t>
      </w:r>
      <w:r w:rsidRPr="00EC4665">
        <w:rPr>
          <w:rStyle w:val="1"/>
          <w:sz w:val="24"/>
          <w:szCs w:val="24"/>
        </w:rPr>
        <w:t>пахом. Допускаются</w:t>
      </w:r>
      <w:r w:rsidR="00D75962">
        <w:rPr>
          <w:rStyle w:val="1"/>
          <w:sz w:val="24"/>
          <w:szCs w:val="24"/>
        </w:rPr>
        <w:t xml:space="preserve"> более светлые и</w:t>
      </w:r>
      <w:r w:rsidRPr="00EC4665">
        <w:rPr>
          <w:rStyle w:val="1"/>
          <w:sz w:val="24"/>
          <w:szCs w:val="24"/>
        </w:rPr>
        <w:t xml:space="preserve"> более темные вкрапления</w:t>
      </w:r>
      <w:r w:rsidR="007A4FBE">
        <w:rPr>
          <w:rStyle w:val="1"/>
          <w:sz w:val="24"/>
          <w:szCs w:val="24"/>
        </w:rPr>
        <w:t>.</w:t>
      </w:r>
    </w:p>
    <w:p w14:paraId="4638B7D9" w14:textId="77777777" w:rsidR="00443D41" w:rsidRPr="00611C41" w:rsidRDefault="00443D41" w:rsidP="007105C9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611C41">
        <w:rPr>
          <w:rStyle w:val="a5"/>
          <w:sz w:val="24"/>
          <w:szCs w:val="24"/>
        </w:rPr>
        <w:t xml:space="preserve">Фармакотерапевтическая группа: </w:t>
      </w:r>
      <w:r w:rsidR="00611C41" w:rsidRPr="00611C41">
        <w:rPr>
          <w:rStyle w:val="1"/>
          <w:sz w:val="24"/>
          <w:szCs w:val="24"/>
        </w:rPr>
        <w:t>ОРЗ и «простуды» симптомов средство устранения (анальгезирующее ненаркотическое средство + Н</w:t>
      </w:r>
      <w:r w:rsidR="00611C41" w:rsidRPr="00585607">
        <w:rPr>
          <w:rStyle w:val="1"/>
          <w:sz w:val="24"/>
          <w:szCs w:val="24"/>
          <w:vertAlign w:val="subscript"/>
        </w:rPr>
        <w:t>1</w:t>
      </w:r>
      <w:r w:rsidR="00611C41" w:rsidRPr="00611C41">
        <w:rPr>
          <w:rStyle w:val="1"/>
          <w:sz w:val="24"/>
          <w:szCs w:val="24"/>
        </w:rPr>
        <w:t>-гистаминовых рецепторов блокатор + витамин).</w:t>
      </w:r>
    </w:p>
    <w:p w14:paraId="08F1E630" w14:textId="0D67C56B" w:rsidR="00443D41" w:rsidRPr="00611C41" w:rsidRDefault="007A3336" w:rsidP="007105C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611C41">
        <w:rPr>
          <w:rStyle w:val="2"/>
          <w:b/>
          <w:bCs/>
          <w:sz w:val="24"/>
          <w:szCs w:val="24"/>
        </w:rPr>
        <w:t xml:space="preserve">Код </w:t>
      </w:r>
      <w:r w:rsidR="00443D41" w:rsidRPr="00611C41">
        <w:rPr>
          <w:rStyle w:val="2"/>
          <w:b/>
          <w:bCs/>
          <w:sz w:val="24"/>
          <w:szCs w:val="24"/>
          <w:lang w:val="en-US" w:eastAsia="en-US"/>
        </w:rPr>
        <w:t>ATX</w:t>
      </w:r>
      <w:r w:rsidR="00611C41" w:rsidRPr="00611C41">
        <w:rPr>
          <w:rStyle w:val="2"/>
          <w:b/>
          <w:bCs/>
          <w:sz w:val="24"/>
          <w:szCs w:val="24"/>
          <w:lang w:eastAsia="en-US"/>
        </w:rPr>
        <w:t>:</w:t>
      </w:r>
      <w:r w:rsidR="00443D41" w:rsidRPr="00611C41">
        <w:rPr>
          <w:rStyle w:val="2"/>
          <w:b/>
          <w:bCs/>
          <w:sz w:val="24"/>
          <w:szCs w:val="24"/>
          <w:lang w:eastAsia="en-US"/>
        </w:rPr>
        <w:t xml:space="preserve"> </w:t>
      </w:r>
      <w:r w:rsidR="00611C41" w:rsidRPr="00611C41">
        <w:rPr>
          <w:rStyle w:val="21"/>
          <w:b w:val="0"/>
          <w:bCs w:val="0"/>
          <w:sz w:val="24"/>
          <w:szCs w:val="24"/>
          <w:lang w:val="en-US" w:eastAsia="en-US"/>
        </w:rPr>
        <w:t>N</w:t>
      </w:r>
      <w:r w:rsidR="00611C41" w:rsidRPr="00585607">
        <w:rPr>
          <w:rStyle w:val="21"/>
          <w:b w:val="0"/>
          <w:bCs w:val="0"/>
          <w:sz w:val="24"/>
          <w:szCs w:val="24"/>
          <w:lang w:eastAsia="en-US"/>
        </w:rPr>
        <w:t>02ВЕ51</w:t>
      </w:r>
    </w:p>
    <w:p w14:paraId="4318778F" w14:textId="77777777" w:rsidR="00443D41" w:rsidRPr="00CE62BA" w:rsidRDefault="00443D41" w:rsidP="007105C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CE62BA">
        <w:rPr>
          <w:rStyle w:val="2"/>
          <w:b/>
          <w:bCs/>
          <w:sz w:val="24"/>
          <w:szCs w:val="24"/>
        </w:rPr>
        <w:t>Фармакологическ</w:t>
      </w:r>
      <w:r w:rsidR="00575503" w:rsidRPr="00CE62BA">
        <w:rPr>
          <w:rStyle w:val="2"/>
          <w:b/>
          <w:bCs/>
          <w:sz w:val="24"/>
          <w:szCs w:val="24"/>
        </w:rPr>
        <w:t>ие</w:t>
      </w:r>
      <w:r w:rsidRPr="00CE62BA">
        <w:rPr>
          <w:rStyle w:val="2"/>
          <w:b/>
          <w:bCs/>
          <w:sz w:val="24"/>
          <w:szCs w:val="24"/>
        </w:rPr>
        <w:t xml:space="preserve"> </w:t>
      </w:r>
      <w:r w:rsidR="00575503" w:rsidRPr="00CE62BA">
        <w:rPr>
          <w:rStyle w:val="2"/>
          <w:b/>
          <w:bCs/>
          <w:sz w:val="24"/>
          <w:szCs w:val="24"/>
        </w:rPr>
        <w:t>свойства</w:t>
      </w:r>
    </w:p>
    <w:p w14:paraId="1CAF84AA" w14:textId="77777777" w:rsidR="00443D41" w:rsidRPr="00CE62BA" w:rsidRDefault="00B51F94" w:rsidP="0059221B">
      <w:pPr>
        <w:pStyle w:val="a4"/>
        <w:shd w:val="clear" w:color="auto" w:fill="auto"/>
        <w:spacing w:after="0" w:line="360" w:lineRule="auto"/>
        <w:ind w:firstLine="709"/>
        <w:jc w:val="left"/>
        <w:rPr>
          <w:sz w:val="24"/>
          <w:szCs w:val="24"/>
        </w:rPr>
      </w:pPr>
      <w:r w:rsidRPr="00CE62BA">
        <w:rPr>
          <w:rStyle w:val="1"/>
          <w:sz w:val="24"/>
          <w:szCs w:val="24"/>
        </w:rPr>
        <w:t>Комбинированный препарат</w:t>
      </w:r>
      <w:r w:rsidR="00062DCE" w:rsidRPr="00CE62BA">
        <w:rPr>
          <w:rStyle w:val="1"/>
          <w:sz w:val="24"/>
          <w:szCs w:val="24"/>
        </w:rPr>
        <w:t>.</w:t>
      </w:r>
    </w:p>
    <w:p w14:paraId="14812DD3" w14:textId="77777777" w:rsidR="00443D41" w:rsidRPr="00585607" w:rsidRDefault="00443D41" w:rsidP="007105C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585607">
        <w:rPr>
          <w:rStyle w:val="2"/>
          <w:b/>
          <w:bCs/>
          <w:sz w:val="24"/>
          <w:szCs w:val="24"/>
        </w:rPr>
        <w:t>Фармакодинамика</w:t>
      </w:r>
    </w:p>
    <w:p w14:paraId="3AC7B6BE" w14:textId="77777777" w:rsidR="00CE62BA" w:rsidRPr="009A20EB" w:rsidRDefault="00CE62BA" w:rsidP="0059221B">
      <w:pPr>
        <w:pStyle w:val="a4"/>
        <w:spacing w:after="0" w:line="360" w:lineRule="auto"/>
        <w:ind w:firstLine="709"/>
        <w:jc w:val="both"/>
        <w:rPr>
          <w:rStyle w:val="a6"/>
          <w:i w:val="0"/>
          <w:sz w:val="24"/>
          <w:szCs w:val="24"/>
        </w:rPr>
      </w:pPr>
      <w:r w:rsidRPr="00CE62BA">
        <w:rPr>
          <w:rStyle w:val="a6"/>
          <w:sz w:val="24"/>
          <w:szCs w:val="24"/>
        </w:rPr>
        <w:t>Парацетамол</w:t>
      </w:r>
      <w:r w:rsidRPr="00CE62BA">
        <w:rPr>
          <w:rStyle w:val="a6"/>
          <w:i w:val="0"/>
          <w:sz w:val="24"/>
          <w:szCs w:val="24"/>
        </w:rPr>
        <w:t xml:space="preserve"> обладает анальгетическим и жаропонижающим действием; устраняет головную и другие виды боли, снижает повышенную температуру.</w:t>
      </w:r>
    </w:p>
    <w:p w14:paraId="1ABA6E9E" w14:textId="77777777" w:rsidR="00585607" w:rsidRPr="00585607" w:rsidRDefault="00585607" w:rsidP="0059221B">
      <w:pPr>
        <w:pStyle w:val="a4"/>
        <w:spacing w:after="0" w:line="360" w:lineRule="auto"/>
        <w:ind w:firstLine="709"/>
        <w:jc w:val="both"/>
        <w:rPr>
          <w:rStyle w:val="a6"/>
          <w:i w:val="0"/>
          <w:sz w:val="24"/>
          <w:szCs w:val="24"/>
        </w:rPr>
      </w:pPr>
      <w:r w:rsidRPr="00CE62BA">
        <w:rPr>
          <w:rStyle w:val="a6"/>
          <w:sz w:val="24"/>
          <w:szCs w:val="24"/>
        </w:rPr>
        <w:t>Хлорфенамин</w:t>
      </w:r>
      <w:r w:rsidRPr="00CE62BA">
        <w:rPr>
          <w:rStyle w:val="a6"/>
          <w:i w:val="0"/>
          <w:sz w:val="24"/>
          <w:szCs w:val="24"/>
        </w:rPr>
        <w:t xml:space="preserve"> – блокатор Н</w:t>
      </w:r>
      <w:r w:rsidRPr="00CE62BA">
        <w:rPr>
          <w:rStyle w:val="a6"/>
          <w:i w:val="0"/>
          <w:sz w:val="24"/>
          <w:szCs w:val="24"/>
          <w:vertAlign w:val="subscript"/>
        </w:rPr>
        <w:t>1</w:t>
      </w:r>
      <w:r w:rsidRPr="00CE62BA">
        <w:rPr>
          <w:rStyle w:val="a6"/>
          <w:i w:val="0"/>
          <w:sz w:val="24"/>
          <w:szCs w:val="24"/>
        </w:rPr>
        <w:t>-гистаминовых рецепторов, обладает противоаллергическим действием, облегчает дыхание через нос, снижает чувство заложенности носа, чихание, слезотечение, зуд и покраснение глаз.</w:t>
      </w:r>
    </w:p>
    <w:p w14:paraId="7D3263D5" w14:textId="77777777" w:rsidR="00CE62BA" w:rsidRPr="00CE62BA" w:rsidRDefault="00CE62BA" w:rsidP="0059221B">
      <w:pPr>
        <w:pStyle w:val="a4"/>
        <w:spacing w:after="0" w:line="360" w:lineRule="auto"/>
        <w:ind w:firstLine="709"/>
        <w:jc w:val="both"/>
        <w:rPr>
          <w:rStyle w:val="a6"/>
          <w:i w:val="0"/>
          <w:sz w:val="24"/>
          <w:szCs w:val="24"/>
        </w:rPr>
      </w:pPr>
      <w:r w:rsidRPr="00CE62BA">
        <w:rPr>
          <w:rStyle w:val="a6"/>
          <w:sz w:val="24"/>
          <w:szCs w:val="24"/>
        </w:rPr>
        <w:t>Аскорбиновая кислота (витамин С)</w:t>
      </w:r>
      <w:r w:rsidRPr="00CE62BA">
        <w:rPr>
          <w:rStyle w:val="a6"/>
          <w:i w:val="0"/>
          <w:sz w:val="24"/>
          <w:szCs w:val="24"/>
        </w:rPr>
        <w:t xml:space="preserve"> участвует в регулировании окислительно-</w:t>
      </w:r>
      <w:r w:rsidRPr="00CE62BA">
        <w:rPr>
          <w:rStyle w:val="a6"/>
          <w:i w:val="0"/>
          <w:sz w:val="24"/>
          <w:szCs w:val="24"/>
        </w:rPr>
        <w:lastRenderedPageBreak/>
        <w:t>восстановительных процессов, углеводного обмена, повышает сопротивляемость организма.</w:t>
      </w:r>
    </w:p>
    <w:p w14:paraId="112CEAAD" w14:textId="77777777" w:rsidR="00443D41" w:rsidRPr="00C0293F" w:rsidRDefault="00443D41" w:rsidP="007105C9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C0293F">
        <w:rPr>
          <w:rStyle w:val="2"/>
          <w:b/>
          <w:bCs/>
          <w:sz w:val="24"/>
          <w:szCs w:val="24"/>
        </w:rPr>
        <w:t>Фармакокинетика</w:t>
      </w:r>
    </w:p>
    <w:p w14:paraId="0333B1EA" w14:textId="77777777" w:rsidR="0059221B" w:rsidRDefault="00585607" w:rsidP="00C0293F">
      <w:pPr>
        <w:pStyle w:val="30"/>
        <w:shd w:val="clear" w:color="auto" w:fill="auto"/>
        <w:spacing w:line="360" w:lineRule="auto"/>
        <w:rPr>
          <w:rStyle w:val="3"/>
          <w:i/>
          <w:iCs/>
          <w:sz w:val="24"/>
          <w:szCs w:val="24"/>
        </w:rPr>
      </w:pPr>
      <w:r w:rsidRPr="00C0293F">
        <w:rPr>
          <w:rStyle w:val="3"/>
          <w:i/>
          <w:iCs/>
          <w:sz w:val="24"/>
          <w:szCs w:val="24"/>
        </w:rPr>
        <w:t>Парацетамол</w:t>
      </w:r>
    </w:p>
    <w:p w14:paraId="713D00EC" w14:textId="77777777" w:rsidR="00585607" w:rsidRPr="00C0293F" w:rsidRDefault="00585607" w:rsidP="0059221B">
      <w:pPr>
        <w:pStyle w:val="30"/>
        <w:shd w:val="clear" w:color="auto" w:fill="auto"/>
        <w:spacing w:line="360" w:lineRule="auto"/>
        <w:ind w:firstLine="709"/>
        <w:rPr>
          <w:i w:val="0"/>
          <w:sz w:val="24"/>
          <w:szCs w:val="24"/>
        </w:rPr>
      </w:pPr>
      <w:r w:rsidRPr="00C0293F">
        <w:rPr>
          <w:rStyle w:val="1"/>
          <w:i w:val="0"/>
          <w:sz w:val="24"/>
          <w:szCs w:val="24"/>
        </w:rPr>
        <w:t>Абсорбция – высокая, максимальная концентрация достигается через 0,5-2 ч; максимальная концентрация – 5-20 мкг/мл. Связь с белками плазмы – 15 %. Проникает через гематоэнцефалический барьер. Менее 1 % от принятой кормящей матерью дозы парацетамола проникает в грудное молоко. Терапевтически эффективная концентрация парацетамола в плазме достигается при его назначении в дозе 10-15 мг/кг.</w:t>
      </w:r>
    </w:p>
    <w:p w14:paraId="4C59504D" w14:textId="77777777" w:rsidR="00585607" w:rsidRDefault="00585607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 w:rsidRPr="00C0293F">
        <w:rPr>
          <w:rStyle w:val="1"/>
          <w:i w:val="0"/>
          <w:sz w:val="24"/>
          <w:szCs w:val="24"/>
        </w:rPr>
        <w:t xml:space="preserve">Метаболизируется в печени (90-95 %): 80 % вступает в реакции конъюгации с глюкуроновой кислотой и сульфатами с образованием неактивных метаболитов; 17 % подвергается гидроксилированию с образованием 8 активных метаболитов, которые конъюгируют с глутатионом с образованием уже неактивных метаболитов. При недостатке глутатиона эти метаболиты могут блокировать ферментные системы гепатоцитов и вызывать их некроз. В метаболизме препарата также участвуют изофермент </w:t>
      </w:r>
      <w:r w:rsidRPr="00C0293F">
        <w:rPr>
          <w:rStyle w:val="1"/>
          <w:i w:val="0"/>
          <w:sz w:val="24"/>
          <w:szCs w:val="24"/>
          <w:lang w:val="en-US" w:eastAsia="en-US"/>
        </w:rPr>
        <w:t>CYP</w:t>
      </w:r>
      <w:r w:rsidRPr="00C0293F">
        <w:rPr>
          <w:rStyle w:val="1"/>
          <w:i w:val="0"/>
          <w:sz w:val="24"/>
          <w:szCs w:val="24"/>
          <w:lang w:eastAsia="en-US"/>
        </w:rPr>
        <w:t>2</w:t>
      </w:r>
      <w:r w:rsidRPr="00C0293F">
        <w:rPr>
          <w:rStyle w:val="1"/>
          <w:i w:val="0"/>
          <w:sz w:val="24"/>
          <w:szCs w:val="24"/>
          <w:lang w:val="en-US" w:eastAsia="en-US"/>
        </w:rPr>
        <w:t>E</w:t>
      </w:r>
      <w:r w:rsidRPr="00C0293F">
        <w:rPr>
          <w:rStyle w:val="1"/>
          <w:i w:val="0"/>
          <w:sz w:val="24"/>
          <w:szCs w:val="24"/>
          <w:lang w:eastAsia="en-US"/>
        </w:rPr>
        <w:t xml:space="preserve">1. </w:t>
      </w:r>
      <w:r w:rsidRPr="00C0293F">
        <w:rPr>
          <w:rStyle w:val="1"/>
          <w:i w:val="0"/>
          <w:sz w:val="24"/>
          <w:szCs w:val="24"/>
        </w:rPr>
        <w:t>Период полувыведения – 1-4 ч. Выводится почками в виде метаболитов, преимущественно конъюгатов, только 3 % в неизменном виде. У пожилых больных снижается клиренс препарата и увеличивается период полувыведения.</w:t>
      </w:r>
    </w:p>
    <w:p w14:paraId="196A8067" w14:textId="77777777" w:rsidR="0059221B" w:rsidRDefault="0055182F" w:rsidP="00585607">
      <w:pPr>
        <w:pStyle w:val="30"/>
        <w:shd w:val="clear" w:color="auto" w:fill="auto"/>
        <w:spacing w:line="360" w:lineRule="auto"/>
        <w:rPr>
          <w:rStyle w:val="1"/>
          <w:sz w:val="24"/>
          <w:szCs w:val="24"/>
        </w:rPr>
      </w:pPr>
      <w:r w:rsidRPr="0055182F">
        <w:rPr>
          <w:rStyle w:val="1"/>
          <w:sz w:val="24"/>
          <w:szCs w:val="24"/>
        </w:rPr>
        <w:t>Хлорфенамина малеат</w:t>
      </w:r>
    </w:p>
    <w:p w14:paraId="25CCAE82" w14:textId="77777777" w:rsidR="0059221B" w:rsidRDefault="0055182F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>
        <w:rPr>
          <w:rStyle w:val="1"/>
          <w:i w:val="0"/>
          <w:sz w:val="24"/>
          <w:szCs w:val="24"/>
        </w:rPr>
        <w:t>Хлорфенамин относительно медленно всасывается из желудочно-кишечного тракта, максимальные концентрации хлорфенамина в плазме крови достигаются через 2,5-6 часов после приема препарата. Вещество обладает низкой биодоступностью на уровне 25-50 %. Около 70 % хлорфенамина в кровотоке связывается с белками плазмы. Он подвергается широкому распределению в тканях организма, включая ЦНС.</w:t>
      </w:r>
    </w:p>
    <w:p w14:paraId="384F88D2" w14:textId="77777777" w:rsidR="0059221B" w:rsidRDefault="0055182F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>
        <w:rPr>
          <w:rStyle w:val="1"/>
          <w:i w:val="0"/>
          <w:sz w:val="24"/>
          <w:szCs w:val="24"/>
        </w:rPr>
        <w:t xml:space="preserve">Хлорфенамин подвергается значительному метаболизму при первичном прохождении через печень. Продолжительность действия составляет 4-6 часов. У детей </w:t>
      </w:r>
      <w:r w:rsidR="0059221B">
        <w:rPr>
          <w:rStyle w:val="1"/>
          <w:i w:val="0"/>
          <w:sz w:val="24"/>
          <w:szCs w:val="24"/>
        </w:rPr>
        <w:t>отмечается более быстрое и полное всасывание, более скорый клиренс и более короткий период полувыведения.</w:t>
      </w:r>
    </w:p>
    <w:p w14:paraId="5E40A0BA" w14:textId="77777777" w:rsidR="000265A2" w:rsidRDefault="0059221B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>
        <w:rPr>
          <w:rStyle w:val="1"/>
          <w:i w:val="0"/>
          <w:sz w:val="24"/>
          <w:szCs w:val="24"/>
        </w:rPr>
        <w:t>Период полувыведения составляет от 2 до 43 часов, даже при средней продолжительности действия 4-6 часов. Часть хлорфенамина в неизменном виде с метаболитами выводится почками.</w:t>
      </w:r>
    </w:p>
    <w:p w14:paraId="7062E180" w14:textId="77777777" w:rsidR="0059221B" w:rsidRDefault="00C0293F" w:rsidP="00585607">
      <w:pPr>
        <w:pStyle w:val="30"/>
        <w:shd w:val="clear" w:color="auto" w:fill="auto"/>
        <w:spacing w:line="360" w:lineRule="auto"/>
        <w:rPr>
          <w:rStyle w:val="1"/>
          <w:i w:val="0"/>
          <w:sz w:val="24"/>
          <w:szCs w:val="24"/>
        </w:rPr>
      </w:pPr>
      <w:r w:rsidRPr="00C0293F">
        <w:rPr>
          <w:rStyle w:val="1"/>
          <w:sz w:val="24"/>
          <w:szCs w:val="24"/>
        </w:rPr>
        <w:t>Аскорбиновая кислота</w:t>
      </w:r>
    </w:p>
    <w:p w14:paraId="1C71D4DA" w14:textId="77777777" w:rsidR="0059221B" w:rsidRDefault="0059221B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>
        <w:rPr>
          <w:rStyle w:val="1"/>
          <w:i w:val="0"/>
          <w:sz w:val="24"/>
          <w:szCs w:val="24"/>
        </w:rPr>
        <w:t xml:space="preserve">Абсорбируется </w:t>
      </w:r>
      <w:r w:rsidR="00C0293F">
        <w:rPr>
          <w:rStyle w:val="1"/>
          <w:i w:val="0"/>
          <w:sz w:val="24"/>
          <w:szCs w:val="24"/>
        </w:rPr>
        <w:t xml:space="preserve">в желудочно-кишечном тракте (преимущественно в тощей кишке). Связь с белками плазмы – 25 %. Заболевания желудочно-кишечного тракта (язвенная болезнь желудка и 12-перстной кишки, запор или диарея, глистная инвазия, лямблиоз), </w:t>
      </w:r>
      <w:r w:rsidR="00C0293F">
        <w:rPr>
          <w:rStyle w:val="1"/>
          <w:i w:val="0"/>
          <w:sz w:val="24"/>
          <w:szCs w:val="24"/>
        </w:rPr>
        <w:lastRenderedPageBreak/>
        <w:t>употребление свежих фруктовых и овощных соков, щелочного питья уменьшают всасывание аскорбиновой кислоты в кишечнике. Концентрация аскорбиновой кислоты в плазме в норме составляет приблизительно 10-20 мкг/мл. Время максимальной концентрации в плазме крови после приема внутрь – 4 ч. Легко проникает в лейкоциты, тромбоциты, а затем – во все ткани; наибольшая концентрация достигается в железистых органах, лейкоцитах, печени и хрусталике глаза; проникает через плаценту. Концентрация аскорбиновой кислоты в лейкоцитах и тромбоцитах выше, чем в эритроцитах и в плазме. При дефицитных состояниях концентрация в лейкоцитах снижается позднее и более медленно и рассматривается как лучший критерий оценки дефицита, чем концентрация в плазме.</w:t>
      </w:r>
    </w:p>
    <w:p w14:paraId="55FF71A8" w14:textId="77777777" w:rsidR="00C0293F" w:rsidRPr="00C0293F" w:rsidRDefault="00C0293F" w:rsidP="0059221B">
      <w:pPr>
        <w:pStyle w:val="30"/>
        <w:shd w:val="clear" w:color="auto" w:fill="auto"/>
        <w:spacing w:line="360" w:lineRule="auto"/>
        <w:ind w:firstLine="709"/>
        <w:rPr>
          <w:rStyle w:val="1"/>
          <w:i w:val="0"/>
          <w:sz w:val="24"/>
          <w:szCs w:val="24"/>
        </w:rPr>
      </w:pPr>
      <w:r>
        <w:rPr>
          <w:rStyle w:val="1"/>
          <w:i w:val="0"/>
          <w:sz w:val="24"/>
          <w:szCs w:val="24"/>
        </w:rPr>
        <w:t>Метаболизируется преимущественно в печени в дезоксиаскорбиновую и далее в щавелевоуксусную кислоту и аскорбат-2</w:t>
      </w:r>
      <w:r w:rsidR="003825D2">
        <w:rPr>
          <w:rStyle w:val="1"/>
          <w:i w:val="0"/>
          <w:sz w:val="24"/>
          <w:szCs w:val="24"/>
        </w:rPr>
        <w:t>-</w:t>
      </w:r>
      <w:r>
        <w:rPr>
          <w:rStyle w:val="1"/>
          <w:i w:val="0"/>
          <w:sz w:val="24"/>
          <w:szCs w:val="24"/>
        </w:rPr>
        <w:t xml:space="preserve">сульфат. Выводится почками, через кишечник, с </w:t>
      </w:r>
      <w:r w:rsidR="003825D2">
        <w:rPr>
          <w:rStyle w:val="1"/>
          <w:i w:val="0"/>
          <w:sz w:val="24"/>
          <w:szCs w:val="24"/>
        </w:rPr>
        <w:t>потом в неизменном виде и в виде метаболитов. Курение и употребление этанола ускоряют разрушение аскорбиновой кислоты (превращение в неактивные метаболиты), резко снижая запасы в организме. Выводится при гемодиализе.</w:t>
      </w:r>
    </w:p>
    <w:p w14:paraId="43B8184B" w14:textId="77777777" w:rsidR="00443D41" w:rsidRPr="0059221B" w:rsidRDefault="00443D41" w:rsidP="00B553DA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59221B">
        <w:rPr>
          <w:rStyle w:val="2"/>
          <w:b/>
          <w:bCs/>
          <w:sz w:val="24"/>
          <w:szCs w:val="24"/>
        </w:rPr>
        <w:t xml:space="preserve">Показания </w:t>
      </w:r>
      <w:r w:rsidR="00EC4665">
        <w:rPr>
          <w:rStyle w:val="2"/>
          <w:b/>
          <w:bCs/>
          <w:sz w:val="24"/>
          <w:szCs w:val="24"/>
        </w:rPr>
        <w:t>к</w:t>
      </w:r>
      <w:r w:rsidRPr="0059221B">
        <w:rPr>
          <w:rStyle w:val="2"/>
          <w:b/>
          <w:bCs/>
          <w:sz w:val="24"/>
          <w:szCs w:val="24"/>
        </w:rPr>
        <w:t xml:space="preserve"> применени</w:t>
      </w:r>
      <w:r w:rsidR="00EC4665">
        <w:rPr>
          <w:rStyle w:val="2"/>
          <w:b/>
          <w:bCs/>
          <w:sz w:val="24"/>
          <w:szCs w:val="24"/>
        </w:rPr>
        <w:t>ю</w:t>
      </w:r>
    </w:p>
    <w:p w14:paraId="0888BC0F" w14:textId="23DC041F" w:rsidR="00443D41" w:rsidRDefault="0059221B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59221B">
        <w:rPr>
          <w:rStyle w:val="1"/>
          <w:sz w:val="24"/>
          <w:szCs w:val="24"/>
        </w:rPr>
        <w:t>Инфекционно-воспалительные заболевания (ОРВИ, грипп), сопровождающиеся повышенной температурой, ознобом, головной болью, болями в суставах и мышцах, заложенностью носа и болями в горле и пазухах носа.</w:t>
      </w:r>
    </w:p>
    <w:p w14:paraId="4A96CBFD" w14:textId="0B7DFC1D" w:rsidR="007A3336" w:rsidRPr="0059221B" w:rsidRDefault="007A3336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Препарат предназначен для симптоматического лечения.</w:t>
      </w:r>
    </w:p>
    <w:p w14:paraId="00A33184" w14:textId="77777777" w:rsidR="00443D41" w:rsidRPr="0059221B" w:rsidRDefault="00443D41" w:rsidP="00B553DA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59221B">
        <w:rPr>
          <w:rStyle w:val="2"/>
          <w:b/>
          <w:bCs/>
          <w:sz w:val="24"/>
          <w:szCs w:val="24"/>
        </w:rPr>
        <w:t>Противопоказания</w:t>
      </w:r>
    </w:p>
    <w:p w14:paraId="0FAF52EC" w14:textId="4A24E75E" w:rsidR="00443D41" w:rsidRPr="0059221B" w:rsidRDefault="0059221B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59221B">
        <w:rPr>
          <w:rStyle w:val="1"/>
          <w:sz w:val="24"/>
          <w:szCs w:val="24"/>
        </w:rPr>
        <w:t>Повышенная чувствительность к парацетамолу, аскорбиновой кислоте, хлорфенамину или любому другому компоненту препарата. Эрозивно-язвенные поражения желудочно-кишечного тракта (в фазе обострения). Выраженная почечная и/или печеночная недостаточность. Алкоголизм. Закрытоугольная глаукома. Портальная гипертензия. Гиперплазия предстательной железы.</w:t>
      </w:r>
      <w:r w:rsidR="007A3336">
        <w:rPr>
          <w:rStyle w:val="1"/>
          <w:sz w:val="24"/>
          <w:szCs w:val="24"/>
        </w:rPr>
        <w:t xml:space="preserve"> </w:t>
      </w:r>
      <w:r w:rsidR="009C6544">
        <w:rPr>
          <w:rStyle w:val="1"/>
          <w:sz w:val="24"/>
          <w:szCs w:val="24"/>
        </w:rPr>
        <w:t xml:space="preserve">Непереносимость лактозы, дефицит лактазы, глюкозо-галактозная мальабсорбция. </w:t>
      </w:r>
      <w:r w:rsidR="007A3336">
        <w:rPr>
          <w:rStyle w:val="1"/>
          <w:sz w:val="24"/>
          <w:szCs w:val="24"/>
        </w:rPr>
        <w:t>Из-за содержания аспартама противопоказан пациентам с фенилкетонурией.</w:t>
      </w:r>
      <w:r w:rsidRPr="0059221B">
        <w:rPr>
          <w:rStyle w:val="1"/>
          <w:sz w:val="24"/>
          <w:szCs w:val="24"/>
        </w:rPr>
        <w:t xml:space="preserve"> Детский возраст (до 15 лет). Беременность и период грудного вскармливания.</w:t>
      </w:r>
    </w:p>
    <w:p w14:paraId="540CE387" w14:textId="77777777" w:rsidR="00443D41" w:rsidRPr="0059221B" w:rsidRDefault="00443D41" w:rsidP="00DC09C0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59221B">
        <w:rPr>
          <w:rStyle w:val="2"/>
          <w:b/>
          <w:bCs/>
          <w:sz w:val="24"/>
          <w:szCs w:val="24"/>
        </w:rPr>
        <w:t>С осторожностью</w:t>
      </w:r>
    </w:p>
    <w:p w14:paraId="0D819570" w14:textId="77777777" w:rsidR="00DC09C0" w:rsidRPr="0059221B" w:rsidRDefault="0059221B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59221B">
        <w:rPr>
          <w:rStyle w:val="1"/>
          <w:sz w:val="24"/>
          <w:szCs w:val="24"/>
        </w:rPr>
        <w:t xml:space="preserve">Почечная и/или печеночная недостаточность, дефицит глюкозо-6-фосфатдегидрогеназы, врожденные гипербилирубинемии (синдромы Жильбера, Дубина-Джонсона и Ротора), гипероксалатурия, прогрессирующие злокачественные заболевания, вирусный гепатит, алкогольный гепатит, пожилой возраст, одновременный или в течение предшествующих 2 недель прием ингибиторов моноаминооксидазы (МАО), </w:t>
      </w:r>
      <w:r w:rsidRPr="0059221B">
        <w:rPr>
          <w:rStyle w:val="1"/>
          <w:sz w:val="24"/>
          <w:szCs w:val="24"/>
        </w:rPr>
        <w:lastRenderedPageBreak/>
        <w:t>трициклических антидепрессантов; одновременный прием препаратов, способных отрицательно влиять на печень; сахарный диабет; у пациентов с бронхиальной астмой, хроническим бронхитом.</w:t>
      </w:r>
    </w:p>
    <w:p w14:paraId="3F4EAE52" w14:textId="77777777" w:rsidR="00443D41" w:rsidRPr="0059221B" w:rsidRDefault="00443D41" w:rsidP="0059221B">
      <w:pPr>
        <w:pStyle w:val="20"/>
        <w:keepNext/>
        <w:shd w:val="clear" w:color="auto" w:fill="auto"/>
        <w:spacing w:line="360" w:lineRule="auto"/>
        <w:jc w:val="both"/>
        <w:rPr>
          <w:sz w:val="24"/>
          <w:szCs w:val="24"/>
        </w:rPr>
      </w:pPr>
      <w:r w:rsidRPr="0059221B">
        <w:rPr>
          <w:rStyle w:val="2"/>
          <w:b/>
          <w:bCs/>
          <w:sz w:val="24"/>
          <w:szCs w:val="24"/>
        </w:rPr>
        <w:t xml:space="preserve">Применение при беременности и </w:t>
      </w:r>
      <w:r w:rsidR="00E0320C" w:rsidRPr="0059221B">
        <w:rPr>
          <w:rStyle w:val="2"/>
          <w:b/>
          <w:bCs/>
          <w:sz w:val="24"/>
          <w:szCs w:val="24"/>
        </w:rPr>
        <w:t>в период грудного вскармливания</w:t>
      </w:r>
    </w:p>
    <w:p w14:paraId="48826850" w14:textId="0F84497C" w:rsidR="00E0320C" w:rsidRPr="0059221B" w:rsidRDefault="0059221B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59221B">
        <w:rPr>
          <w:rStyle w:val="1"/>
          <w:sz w:val="24"/>
          <w:szCs w:val="24"/>
        </w:rPr>
        <w:t xml:space="preserve">Применение при беременности и в период грудного вскармливания </w:t>
      </w:r>
      <w:r w:rsidR="009C6544">
        <w:rPr>
          <w:rStyle w:val="1"/>
          <w:sz w:val="24"/>
          <w:szCs w:val="24"/>
        </w:rPr>
        <w:t>противопоказано</w:t>
      </w:r>
      <w:r w:rsidRPr="0059221B">
        <w:rPr>
          <w:rStyle w:val="1"/>
          <w:sz w:val="24"/>
          <w:szCs w:val="24"/>
        </w:rPr>
        <w:t>.</w:t>
      </w:r>
    </w:p>
    <w:p w14:paraId="4DE8ADD0" w14:textId="77777777" w:rsidR="00443D41" w:rsidRPr="0059221B" w:rsidRDefault="000B4E63" w:rsidP="00E0320C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59221B">
        <w:rPr>
          <w:rStyle w:val="2"/>
          <w:b/>
          <w:bCs/>
          <w:sz w:val="24"/>
          <w:szCs w:val="24"/>
        </w:rPr>
        <w:t>Способ применения и дозы</w:t>
      </w:r>
    </w:p>
    <w:p w14:paraId="7260DBDA" w14:textId="77777777" w:rsidR="0059221B" w:rsidRPr="00F937BE" w:rsidRDefault="0059221B" w:rsidP="0059221B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F937BE">
        <w:rPr>
          <w:rStyle w:val="1"/>
          <w:sz w:val="24"/>
          <w:szCs w:val="24"/>
        </w:rPr>
        <w:t xml:space="preserve">Внутрь. Взрослым и детям старше 15 лет по 1 </w:t>
      </w:r>
      <w:r w:rsidR="00F937BE" w:rsidRPr="00F937BE">
        <w:rPr>
          <w:rStyle w:val="1"/>
          <w:sz w:val="24"/>
          <w:szCs w:val="24"/>
        </w:rPr>
        <w:t>пакетику</w:t>
      </w:r>
      <w:r w:rsidRPr="00F937BE">
        <w:rPr>
          <w:rStyle w:val="1"/>
          <w:sz w:val="24"/>
          <w:szCs w:val="24"/>
        </w:rPr>
        <w:t xml:space="preserve"> 2-3 раза в сутки. </w:t>
      </w:r>
      <w:r w:rsidR="00F937BE" w:rsidRPr="00F937BE">
        <w:rPr>
          <w:rStyle w:val="1"/>
          <w:sz w:val="24"/>
          <w:szCs w:val="24"/>
        </w:rPr>
        <w:t>Содержимое 1 пакетика</w:t>
      </w:r>
      <w:r w:rsidRPr="00F937BE">
        <w:rPr>
          <w:rStyle w:val="1"/>
          <w:sz w:val="24"/>
          <w:szCs w:val="24"/>
        </w:rPr>
        <w:t xml:space="preserve"> следует полностью растворить в стакане (200 мл) теплой воды (50-60</w:t>
      </w:r>
      <w:r w:rsidR="00F937BE" w:rsidRPr="00F937BE">
        <w:rPr>
          <w:rStyle w:val="1"/>
          <w:sz w:val="24"/>
          <w:szCs w:val="24"/>
        </w:rPr>
        <w:t> °</w:t>
      </w:r>
      <w:r w:rsidRPr="00F937BE">
        <w:rPr>
          <w:rStyle w:val="1"/>
          <w:sz w:val="24"/>
          <w:szCs w:val="24"/>
        </w:rPr>
        <w:t xml:space="preserve">С) и полученный раствор сразу выпить. Лучше принимать препарат между приемами пищи. Максимальная суточная доза – 3 </w:t>
      </w:r>
      <w:r w:rsidR="00F937BE" w:rsidRPr="00F937BE">
        <w:rPr>
          <w:rStyle w:val="1"/>
          <w:sz w:val="24"/>
          <w:szCs w:val="24"/>
        </w:rPr>
        <w:t>пакетика</w:t>
      </w:r>
      <w:r w:rsidRPr="00F937BE">
        <w:rPr>
          <w:rStyle w:val="1"/>
          <w:sz w:val="24"/>
          <w:szCs w:val="24"/>
        </w:rPr>
        <w:t>. Интервал между приемами препарата должен быть не менее 4 часов.</w:t>
      </w:r>
    </w:p>
    <w:p w14:paraId="08DF2B7E" w14:textId="77777777" w:rsidR="0059221B" w:rsidRPr="00F937BE" w:rsidRDefault="0059221B" w:rsidP="0059221B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F937BE">
        <w:rPr>
          <w:rStyle w:val="1"/>
          <w:sz w:val="24"/>
          <w:szCs w:val="24"/>
        </w:rPr>
        <w:t>У пациентов с нарушениями функции печени или почек и у пожилых больных интервал между приемами препарата должен составлять не менее 8 часов.</w:t>
      </w:r>
    </w:p>
    <w:p w14:paraId="74942676" w14:textId="77777777" w:rsidR="00E0320C" w:rsidRPr="00F937BE" w:rsidRDefault="0059221B" w:rsidP="0059221B">
      <w:pPr>
        <w:pStyle w:val="a4"/>
        <w:shd w:val="clear" w:color="auto" w:fill="auto"/>
        <w:spacing w:after="0" w:line="360" w:lineRule="auto"/>
        <w:ind w:firstLine="709"/>
        <w:jc w:val="both"/>
        <w:rPr>
          <w:i/>
          <w:sz w:val="24"/>
          <w:szCs w:val="24"/>
        </w:rPr>
      </w:pPr>
      <w:r w:rsidRPr="00F937BE">
        <w:rPr>
          <w:rStyle w:val="1"/>
          <w:i/>
          <w:sz w:val="24"/>
          <w:szCs w:val="24"/>
        </w:rPr>
        <w:t>Продолжительность приема без консультации с врачом не более 5 дней при назначении в качестве обезболивающего средства и 3 дней в качестве жаропонижающего средства.</w:t>
      </w:r>
    </w:p>
    <w:p w14:paraId="729464B7" w14:textId="77777777" w:rsidR="00443D41" w:rsidRPr="00CD4E87" w:rsidRDefault="00443D41" w:rsidP="00D5611A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CD4E87">
        <w:rPr>
          <w:rStyle w:val="2"/>
          <w:b/>
          <w:bCs/>
          <w:sz w:val="24"/>
          <w:szCs w:val="24"/>
        </w:rPr>
        <w:t>Побочное действие</w:t>
      </w:r>
    </w:p>
    <w:p w14:paraId="41E8B764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Препарат хорошо переносится в рекомендованных дозах.</w:t>
      </w:r>
    </w:p>
    <w:p w14:paraId="17D05B5C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Крайне редко встречаются:</w:t>
      </w:r>
    </w:p>
    <w:p w14:paraId="2F4D9EB5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со стороны ЦНС</w:t>
      </w:r>
      <w:r w:rsidRPr="00CD4E87">
        <w:rPr>
          <w:rStyle w:val="1"/>
          <w:sz w:val="24"/>
          <w:szCs w:val="24"/>
        </w:rPr>
        <w:t>: головная боль, чувство усталости;</w:t>
      </w:r>
    </w:p>
    <w:p w14:paraId="4FCE47C4" w14:textId="244ED00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со стороны ЖКТ</w:t>
      </w:r>
      <w:r w:rsidRPr="00CD4E87">
        <w:rPr>
          <w:rStyle w:val="1"/>
          <w:sz w:val="24"/>
          <w:szCs w:val="24"/>
        </w:rPr>
        <w:t>: тошнота, боль в эпигастральной области</w:t>
      </w:r>
      <w:r w:rsidR="007228CF">
        <w:rPr>
          <w:rStyle w:val="1"/>
          <w:sz w:val="24"/>
          <w:szCs w:val="24"/>
        </w:rPr>
        <w:t>, диарея</w:t>
      </w:r>
      <w:r w:rsidRPr="00CD4E87">
        <w:rPr>
          <w:rStyle w:val="1"/>
          <w:sz w:val="24"/>
          <w:szCs w:val="24"/>
        </w:rPr>
        <w:t>;</w:t>
      </w:r>
    </w:p>
    <w:p w14:paraId="37A40504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со стороны эндокринной системы</w:t>
      </w:r>
      <w:r w:rsidRPr="00CD4E87">
        <w:rPr>
          <w:rStyle w:val="1"/>
          <w:sz w:val="24"/>
          <w:szCs w:val="24"/>
        </w:rPr>
        <w:t>: гипогликемия (вплоть до развития комы);</w:t>
      </w:r>
    </w:p>
    <w:p w14:paraId="2A6149FD" w14:textId="68D7047B" w:rsid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со стороны органов кроветворения</w:t>
      </w:r>
      <w:r w:rsidRPr="00CD4E87">
        <w:rPr>
          <w:rStyle w:val="1"/>
          <w:sz w:val="24"/>
          <w:szCs w:val="24"/>
        </w:rPr>
        <w:t xml:space="preserve">: анемия, гемолитическая анемия (особенно для пациентов с дефицитом глюкозо-6-фосфатдегидрогеназы), </w:t>
      </w:r>
      <w:r w:rsidR="009C6544">
        <w:rPr>
          <w:rStyle w:val="1"/>
          <w:sz w:val="24"/>
          <w:szCs w:val="24"/>
        </w:rPr>
        <w:t xml:space="preserve">панцитопения, </w:t>
      </w:r>
      <w:r w:rsidR="007228CF">
        <w:rPr>
          <w:rStyle w:val="1"/>
          <w:sz w:val="24"/>
          <w:szCs w:val="24"/>
        </w:rPr>
        <w:t xml:space="preserve">лейкопения, гемолитическая анемия, </w:t>
      </w:r>
      <w:r w:rsidRPr="00CD4E87">
        <w:rPr>
          <w:rStyle w:val="1"/>
          <w:sz w:val="24"/>
          <w:szCs w:val="24"/>
        </w:rPr>
        <w:t>тромбоцитопения;</w:t>
      </w:r>
    </w:p>
    <w:p w14:paraId="1BD3E49D" w14:textId="0B8D8C4A" w:rsidR="007228CF" w:rsidRPr="00CD4E87" w:rsidRDefault="007228CF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7228CF">
        <w:rPr>
          <w:rStyle w:val="1"/>
          <w:i/>
          <w:iCs/>
          <w:sz w:val="24"/>
          <w:szCs w:val="24"/>
        </w:rPr>
        <w:t>со стороны печени и желчевыводящих путей</w:t>
      </w:r>
      <w:r>
        <w:rPr>
          <w:rStyle w:val="1"/>
          <w:sz w:val="24"/>
          <w:szCs w:val="24"/>
        </w:rPr>
        <w:t>: нарушение функции печени;</w:t>
      </w:r>
    </w:p>
    <w:p w14:paraId="71603916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серьезные реакции со стороны кожи</w:t>
      </w:r>
      <w:r w:rsidRPr="00CD4E87">
        <w:rPr>
          <w:rStyle w:val="1"/>
          <w:sz w:val="24"/>
          <w:szCs w:val="24"/>
        </w:rPr>
        <w:t>: острый генерализованный экзантематозный пустулез;</w:t>
      </w:r>
    </w:p>
    <w:p w14:paraId="137AFA74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аллергические реакции</w:t>
      </w:r>
      <w:r w:rsidRPr="00CD4E87">
        <w:rPr>
          <w:rStyle w:val="1"/>
          <w:sz w:val="24"/>
          <w:szCs w:val="24"/>
        </w:rPr>
        <w:t>: кожная сыпь, зуд, крапивница, отек Квинке, анафилактоидные реакции (в т.ч. анафилактический шок), мультиформная экссудативная эритема (в т.ч. синдром Стивенса-Джонсона), токсический эпидермальный некролиз (синдром Лайелла).</w:t>
      </w:r>
    </w:p>
    <w:p w14:paraId="6FE6F88C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i/>
          <w:sz w:val="24"/>
          <w:szCs w:val="24"/>
        </w:rPr>
        <w:t>прочие</w:t>
      </w:r>
      <w:r w:rsidRPr="00CD4E87">
        <w:rPr>
          <w:rStyle w:val="1"/>
          <w:sz w:val="24"/>
          <w:szCs w:val="24"/>
        </w:rPr>
        <w:t xml:space="preserve">: гипервитаминоз, нарушение обмена веществ, ощущение жара, сухость во рту, парез аккомодации, задержка мочи, сонливость, мидриаз, гепатотоксическое </w:t>
      </w:r>
      <w:r w:rsidRPr="00CD4E87">
        <w:rPr>
          <w:rStyle w:val="1"/>
          <w:sz w:val="24"/>
          <w:szCs w:val="24"/>
        </w:rPr>
        <w:lastRenderedPageBreak/>
        <w:t>действие, нефротоксичность, бронхоспазм.</w:t>
      </w:r>
    </w:p>
    <w:p w14:paraId="0ADA0CD9" w14:textId="77777777" w:rsidR="008C67F6" w:rsidRPr="00CD4E87" w:rsidRDefault="00CD4E87" w:rsidP="00CD4E87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Обо всех побочных эффектах препарата следует сообщать врачу.</w:t>
      </w:r>
    </w:p>
    <w:p w14:paraId="6A2B8937" w14:textId="77777777" w:rsidR="00443D41" w:rsidRPr="00CD4E87" w:rsidRDefault="00443D41" w:rsidP="00D631F0">
      <w:pPr>
        <w:pStyle w:val="20"/>
        <w:keepNext/>
        <w:shd w:val="clear" w:color="auto" w:fill="auto"/>
        <w:spacing w:line="360" w:lineRule="auto"/>
        <w:jc w:val="left"/>
        <w:rPr>
          <w:sz w:val="24"/>
          <w:szCs w:val="24"/>
        </w:rPr>
      </w:pPr>
      <w:r w:rsidRPr="00CD4E87">
        <w:rPr>
          <w:rStyle w:val="2"/>
          <w:b/>
          <w:bCs/>
          <w:sz w:val="24"/>
          <w:szCs w:val="24"/>
        </w:rPr>
        <w:t>Передозировка</w:t>
      </w:r>
    </w:p>
    <w:p w14:paraId="4EF753D2" w14:textId="58809285" w:rsidR="00085FE8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Симптомы передозировки препаратом обусловлены входящими в его состав веществами</w:t>
      </w:r>
      <w:r w:rsidR="00A00AB0">
        <w:rPr>
          <w:rStyle w:val="1"/>
          <w:sz w:val="24"/>
          <w:szCs w:val="24"/>
        </w:rPr>
        <w:t>, в основном наличием парацетамола.</w:t>
      </w:r>
    </w:p>
    <w:p w14:paraId="176C4F05" w14:textId="1FFEE312" w:rsidR="00085FE8" w:rsidRDefault="00085FE8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085FE8">
        <w:rPr>
          <w:rStyle w:val="1"/>
          <w:i/>
          <w:iCs/>
          <w:sz w:val="24"/>
          <w:szCs w:val="24"/>
        </w:rPr>
        <w:t>Парацетамол</w:t>
      </w:r>
    </w:p>
    <w:p w14:paraId="7FB491E9" w14:textId="2008BAFF" w:rsidR="0018661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 xml:space="preserve">Клиническая картина острой передозировки парацетамолом развивается в течение </w:t>
      </w:r>
      <w:r w:rsidR="00186617">
        <w:rPr>
          <w:rStyle w:val="1"/>
          <w:sz w:val="24"/>
          <w:szCs w:val="24"/>
        </w:rPr>
        <w:t>24</w:t>
      </w:r>
      <w:r w:rsidRPr="00CD4E87">
        <w:rPr>
          <w:rStyle w:val="1"/>
          <w:sz w:val="24"/>
          <w:szCs w:val="24"/>
        </w:rPr>
        <w:t xml:space="preserve"> часов после его приема.</w:t>
      </w:r>
      <w:r w:rsidR="00186617">
        <w:rPr>
          <w:rStyle w:val="1"/>
          <w:sz w:val="24"/>
          <w:szCs w:val="24"/>
        </w:rPr>
        <w:t xml:space="preserve"> Появляются </w:t>
      </w:r>
      <w:r w:rsidR="009A4E12">
        <w:rPr>
          <w:rStyle w:val="1"/>
          <w:sz w:val="24"/>
          <w:szCs w:val="24"/>
        </w:rPr>
        <w:t>желудочно-кишечные расстройства (тошнота, рвота, снижение аппетита, ощущение дискомфорта в брюшной полости и (или) абдоминальная боль, бледность кожных покровов)</w:t>
      </w:r>
      <w:r w:rsidR="003111F5">
        <w:rPr>
          <w:rStyle w:val="1"/>
          <w:sz w:val="24"/>
          <w:szCs w:val="24"/>
        </w:rPr>
        <w:t>.</w:t>
      </w:r>
      <w:r w:rsidR="009A4E12">
        <w:rPr>
          <w:rStyle w:val="1"/>
          <w:sz w:val="24"/>
          <w:szCs w:val="24"/>
        </w:rPr>
        <w:t xml:space="preserve"> При одномоментном введении взрослым 7,5 г и более или детям 140 мг/кг происходит цитолиз гепатоцитов с полным и необратимым некрозом печени, развитием печеночной недостаточности, метаболического ацидоза и энцефалопатии, которые могут привести </w:t>
      </w:r>
      <w:r w:rsidR="00686C22">
        <w:rPr>
          <w:rStyle w:val="1"/>
          <w:sz w:val="24"/>
          <w:szCs w:val="24"/>
        </w:rPr>
        <w:t>к коме и летальному исходу. Прием внутрь 5 г или более парацетамола может привести к повреждению печени при наличии факторов риска (длительное лечение карбамазепином, фенобарбиталом, фенитоином, примидоном, рифампицином, зверобоем продырявленным или другими препаратами, которые являются индукторами микросомальных ферментов печени; злоупотребление этанолом, дефицит глутатиона, нарушение пищеварения, муковисцидоз, ВИЧ-инфекция, голодание, кахексия). Через 12-48 ч после введения парацетамола отмечается повышение активности микросомальных ферментов печени, лактатдегидрогеназы</w:t>
      </w:r>
      <w:r w:rsidR="00FA5ED6">
        <w:rPr>
          <w:rStyle w:val="1"/>
          <w:sz w:val="24"/>
          <w:szCs w:val="24"/>
        </w:rPr>
        <w:t>, концентрации билирубина и снижение содержания протромбина. Клинические симптомы повреждения печени проявляются через 2 суток после передозировки парацетамолом и достигают максимума на 4-6 день.</w:t>
      </w:r>
      <w:r w:rsidR="00F522E8">
        <w:rPr>
          <w:rStyle w:val="1"/>
          <w:sz w:val="24"/>
          <w:szCs w:val="24"/>
        </w:rPr>
        <w:t xml:space="preserve"> При передозировке возможна интоксикация, особенно у пожилых пациентов, детей, пациентов с заболеваниями печени (вызванных хроническим алкоголизмом), у пациентов с нарушениями питания, а также у пациентов, принимающих индукторы микросомальных ферментов печени, при этом может развиться молниеносный гепатит, печеночная недостаточность, холестатический гепатит, цитолитический гепатит, иногда с летальным исходом. В тяжелых случаях передозировки в результате печеночной недостаточности может развиться энцефалопатия (нарушение функции головного мозга), отек мозга, </w:t>
      </w:r>
      <w:r w:rsidR="00085FE8">
        <w:rPr>
          <w:rStyle w:val="1"/>
          <w:sz w:val="24"/>
          <w:szCs w:val="24"/>
        </w:rPr>
        <w:t>кровотечения, гипогликемия, вплоть до летального исхода. Возможно развитие острой почечной недостаточности с острым тубулярным некрозом, характерными признаками которого является боль в поясничной области, гематурия (примесь крови или эритроцитов в моче), протеинурия (повышенное содержание белка в моче), при этом тяжелое поражение печени может отсутствовать. Отмечались случаи нарушения сердечного ритма, панкреатита.</w:t>
      </w:r>
    </w:p>
    <w:p w14:paraId="1AFDC7E1" w14:textId="2524B9E2" w:rsidR="00085FE8" w:rsidRDefault="00085FE8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085FE8">
        <w:rPr>
          <w:rStyle w:val="1"/>
          <w:i/>
          <w:iCs/>
          <w:sz w:val="24"/>
          <w:szCs w:val="24"/>
          <w:u w:val="single"/>
        </w:rPr>
        <w:lastRenderedPageBreak/>
        <w:t>Лечение</w:t>
      </w:r>
      <w:r>
        <w:rPr>
          <w:rStyle w:val="1"/>
          <w:sz w:val="24"/>
          <w:szCs w:val="24"/>
        </w:rPr>
        <w:t xml:space="preserve">. Немедленная госпитализация. При подозрении на передозировку, даже при отсутствии выраженных первых симптомов, необходимо прекратить применение парацетамола и немедленно обратиться за врачебной помощью. Следует определить уровень парацетамола в плазме крови, но не ранее чем через 4 часа после передозировки (более ранние результаты не достоверны). Лабораторные исследования активности микросомальных ферментов печени следует проводить в начале лечения и затем – каждые 24 часа. Введение донаторов </w:t>
      </w:r>
      <w:r>
        <w:rPr>
          <w:rStyle w:val="1"/>
          <w:sz w:val="24"/>
          <w:szCs w:val="24"/>
          <w:lang w:val="en-US"/>
        </w:rPr>
        <w:t>SH</w:t>
      </w:r>
      <w:r w:rsidRPr="00085FE8">
        <w:rPr>
          <w:rStyle w:val="1"/>
          <w:sz w:val="24"/>
          <w:szCs w:val="24"/>
        </w:rPr>
        <w:t>-</w:t>
      </w:r>
      <w:r>
        <w:rPr>
          <w:rStyle w:val="1"/>
          <w:sz w:val="24"/>
          <w:szCs w:val="24"/>
        </w:rPr>
        <w:t>групп и предшественников синтеза глутатиона – метионина и ацетилцистеина – наиболее эффективно в первые 8 часов.</w:t>
      </w:r>
    </w:p>
    <w:p w14:paraId="0CFBCC93" w14:textId="671F1DDB" w:rsidR="00085FE8" w:rsidRDefault="00085FE8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В течение 1 часа после передозировки рекомендуется промывание желудка и прием энтеросорбентов (активированный уголь и т.п.). в большинстве случаев активность микросомальных </w:t>
      </w:r>
      <w:r w:rsidR="00C228EE">
        <w:rPr>
          <w:rStyle w:val="1"/>
          <w:sz w:val="24"/>
          <w:szCs w:val="24"/>
        </w:rPr>
        <w:t>ферментов печени нормализуется в течение 1-2 недель. В очень тяжелых случаях может потребоваться пересадка печени. Введение ацетилцистеина в течение 24 часов после передозировки. Максимальное защитное действие обеспечивается в течение первых 8 часов после передозировки, со временем эффективность антидота резко падает.</w:t>
      </w:r>
    </w:p>
    <w:p w14:paraId="2FC95930" w14:textId="2D9DADBA" w:rsidR="00C228EE" w:rsidRPr="00085FE8" w:rsidRDefault="00C228EE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При необходимости вводят ацетилцистеин внутривенно. При отсутствии рвоты до поступления пациента в стационар возможно применение метионина. Необходимость в проведении дополнительных терапевтических мероприятий (дальнейшее введение метионина, внутривенное введение ацетилцистеина) определяется в зависимости от концентрации парацетамола в крови, а также от времени, прошедшего после его приема. Лечение пациентов с серьезным нарушением функции печени через 24 часа после приема парацетамола должно проводиться совместно со специалистами токсикологического центра или специализированного отделения заболеваний печени.</w:t>
      </w:r>
    </w:p>
    <w:p w14:paraId="5A2A1CC1" w14:textId="31BEF1BA" w:rsidR="00186617" w:rsidRPr="003111F5" w:rsidRDefault="003111F5" w:rsidP="00CD4E87">
      <w:pPr>
        <w:pStyle w:val="a4"/>
        <w:spacing w:after="0" w:line="360" w:lineRule="auto"/>
        <w:ind w:firstLine="709"/>
        <w:jc w:val="both"/>
        <w:rPr>
          <w:rStyle w:val="1"/>
          <w:i/>
          <w:iCs/>
          <w:sz w:val="24"/>
          <w:szCs w:val="24"/>
        </w:rPr>
      </w:pPr>
      <w:r w:rsidRPr="003111F5">
        <w:rPr>
          <w:rStyle w:val="1"/>
          <w:i/>
          <w:iCs/>
          <w:sz w:val="24"/>
          <w:szCs w:val="24"/>
        </w:rPr>
        <w:t>Хлорфенамина малеат</w:t>
      </w:r>
    </w:p>
    <w:p w14:paraId="054C4511" w14:textId="11B2D16A" w:rsidR="003111F5" w:rsidRDefault="003111F5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Симптомы передозировки хлорфенамина малеата включают сонливость, остановку дыхания, судороги, антихолинергические эффекты</w:t>
      </w:r>
      <w:r w:rsidR="00920352">
        <w:rPr>
          <w:rStyle w:val="1"/>
          <w:sz w:val="24"/>
          <w:szCs w:val="24"/>
        </w:rPr>
        <w:t>, дистонические реакции и сердечно-сосудистый коллапс, включая аритмию. У детей симптомы передозировки могут включать нарушение координации, возбуждение, тремор, изменение поведения, галлюцинации, судороги и антихолинергические эффекты.</w:t>
      </w:r>
    </w:p>
    <w:p w14:paraId="14189053" w14:textId="4D0EBF82" w:rsidR="00920352" w:rsidRDefault="00920352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920352">
        <w:rPr>
          <w:rStyle w:val="1"/>
          <w:i/>
          <w:iCs/>
          <w:sz w:val="24"/>
          <w:szCs w:val="24"/>
          <w:u w:val="single"/>
        </w:rPr>
        <w:t>Лечение</w:t>
      </w:r>
      <w:r>
        <w:rPr>
          <w:rStyle w:val="1"/>
          <w:sz w:val="24"/>
          <w:szCs w:val="24"/>
        </w:rPr>
        <w:t>. Включает промывание желудка в случае массивной передозировки, либо стимуляцию рвоты. После этого возможно назначение активированного угля и слабительного для замедления всасывания. В случае судорог следует провести седацию при помощи внутривенного диазепама или фенитоина. В тяжелых случаях может быть проведена гемоперфузия</w:t>
      </w:r>
      <w:r w:rsidR="00A00AB0">
        <w:rPr>
          <w:rStyle w:val="1"/>
          <w:sz w:val="24"/>
          <w:szCs w:val="24"/>
        </w:rPr>
        <w:t>.</w:t>
      </w:r>
    </w:p>
    <w:p w14:paraId="49D5CB19" w14:textId="24EBACCB" w:rsidR="00A00AB0" w:rsidRPr="00A00AB0" w:rsidRDefault="00A00AB0" w:rsidP="00A00AB0">
      <w:pPr>
        <w:pStyle w:val="a4"/>
        <w:keepNext/>
        <w:spacing w:after="0" w:line="360" w:lineRule="auto"/>
        <w:ind w:firstLine="709"/>
        <w:jc w:val="both"/>
        <w:rPr>
          <w:rStyle w:val="1"/>
          <w:i/>
          <w:iCs/>
          <w:sz w:val="24"/>
          <w:szCs w:val="24"/>
        </w:rPr>
      </w:pPr>
      <w:r w:rsidRPr="00A00AB0">
        <w:rPr>
          <w:rStyle w:val="1"/>
          <w:i/>
          <w:iCs/>
          <w:sz w:val="24"/>
          <w:szCs w:val="24"/>
        </w:rPr>
        <w:t>Аскорбиновая кислота</w:t>
      </w:r>
    </w:p>
    <w:p w14:paraId="0050A079" w14:textId="76580E13" w:rsidR="00A00AB0" w:rsidRDefault="00A00AB0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Симптомы передозировки аскорбиновой кислотой: нефролитиаз, бессонница, </w:t>
      </w:r>
      <w:r>
        <w:rPr>
          <w:rStyle w:val="1"/>
          <w:sz w:val="24"/>
          <w:szCs w:val="24"/>
        </w:rPr>
        <w:lastRenderedPageBreak/>
        <w:t>раздражительность, гипогликемия.</w:t>
      </w:r>
    </w:p>
    <w:p w14:paraId="2B20ECB5" w14:textId="376C346C" w:rsidR="00A00AB0" w:rsidRDefault="00A00AB0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A00AB0">
        <w:rPr>
          <w:rStyle w:val="1"/>
          <w:i/>
          <w:iCs/>
          <w:sz w:val="24"/>
          <w:szCs w:val="24"/>
          <w:u w:val="single"/>
        </w:rPr>
        <w:t>Лечение</w:t>
      </w:r>
      <w:r>
        <w:rPr>
          <w:rStyle w:val="1"/>
          <w:sz w:val="24"/>
          <w:szCs w:val="24"/>
        </w:rPr>
        <w:t>. Лечение передозировки аскорбиновой кислотой является симптоматическим, возможно потребуется провести форсированный диурез.</w:t>
      </w:r>
    </w:p>
    <w:p w14:paraId="7DE37B21" w14:textId="77777777" w:rsidR="00443D41" w:rsidRPr="00CD4E87" w:rsidRDefault="00443D41" w:rsidP="00B775F5">
      <w:pPr>
        <w:pStyle w:val="20"/>
        <w:keepNext/>
        <w:shd w:val="clear" w:color="auto" w:fill="auto"/>
        <w:spacing w:line="360" w:lineRule="auto"/>
        <w:jc w:val="left"/>
        <w:rPr>
          <w:sz w:val="24"/>
          <w:szCs w:val="24"/>
        </w:rPr>
      </w:pPr>
      <w:r w:rsidRPr="00CD4E87">
        <w:rPr>
          <w:rStyle w:val="2"/>
          <w:b/>
          <w:bCs/>
          <w:sz w:val="24"/>
          <w:szCs w:val="24"/>
        </w:rPr>
        <w:t>Взаимодействие с другими лекарственными средствами</w:t>
      </w:r>
    </w:p>
    <w:p w14:paraId="4480E043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i/>
          <w:iCs/>
          <w:color w:val="auto"/>
        </w:rPr>
        <w:t>Парацетамол</w:t>
      </w:r>
    </w:p>
    <w:p w14:paraId="1F284E5F" w14:textId="4B083938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Антикоагулянтный эффект варфарина и других кумаринов может быть усилен при длительном регулярном применении парацетамола, при этом увеличивается риск кровотечения. Периодическое применение парацетамола не имеет существенного влияния.</w:t>
      </w:r>
    </w:p>
    <w:p w14:paraId="685358CB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Гепатотоксические вещества могут привести к накоплению парацетамола и передозировке. Риск гепатотоксичности парацетамола усиливается при применении препаратов, индуцирующих микросомальные ферменты печени, такие как барбитураты, противоэпилептические препараты (например, фенитоин, фенобарбитал, карбамазепин) и лекарственные средства для лечения туберкулеза, такие как рифампицин и изониазид. Метоклопрамид повышает скорость всасывания парацетамола и увеличивает его максимальную концентрацию в плазме крови. Аналогичным образом, домперидон может привести к увеличению скорости абсорбции парацетамола.</w:t>
      </w:r>
    </w:p>
    <w:p w14:paraId="01AF1C14" w14:textId="1AEDEABB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Парацетамол может приводить к увеличению периода полувыведения хлорамфеникола. Парацетамол может привести к снижению биодоступности ламотриджина, при возможном снижении эффекта последнего, что может привести к возможному</w:t>
      </w:r>
      <w:r>
        <w:rPr>
          <w:rFonts w:ascii="Times New Roman" w:hAnsi="Times New Roman" w:cs="Times New Roman"/>
          <w:color w:val="auto"/>
        </w:rPr>
        <w:t xml:space="preserve"> </w:t>
      </w:r>
      <w:r w:rsidRPr="00980AF7">
        <w:rPr>
          <w:rFonts w:ascii="Times New Roman" w:hAnsi="Times New Roman" w:cs="Times New Roman"/>
          <w:color w:val="auto"/>
        </w:rPr>
        <w:t>индуцированию метаболизма в печени. Абсорбция парацетамола может быть снижена при одновременном применении с колестирамином, но снижение всасывания незначительно, если колестирамин применяют на час позже.</w:t>
      </w:r>
    </w:p>
    <w:p w14:paraId="35D4E470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Регулярное применение парацетамола одновременно с зидовудином может вызвать нейтропению и повысить риск повреждения печени.</w:t>
      </w:r>
    </w:p>
    <w:p w14:paraId="434C66DE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Пробенецид влияет на метаболизм парацетамола. У пациентов, одновременно применяющих пробенецид, доза парацетамола должна быть снижена.</w:t>
      </w:r>
    </w:p>
    <w:p w14:paraId="65133CBF" w14:textId="4E73AF1B" w:rsid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Гепатотоксичность парацетамола усиливается при длительном чрезмерном употреблении этанола (алкоголя).</w:t>
      </w:r>
    </w:p>
    <w:p w14:paraId="4711822A" w14:textId="424DDDD8" w:rsidR="009B6B6C" w:rsidRPr="00980AF7" w:rsidRDefault="009B6B6C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Миелотоксичные лекарственные средства усиливают проявление гематоксичности парацетамола.</w:t>
      </w:r>
    </w:p>
    <w:p w14:paraId="2E0E4D05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Парацетамол может повлиять на результаты тестов фосфорновольфрамовой мочевой кислоты.</w:t>
      </w:r>
    </w:p>
    <w:p w14:paraId="75AD864A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 xml:space="preserve">Фенитоин снижает эффективность парацетамола, следовательно, пациентам, принимающим фенитоин, следует избегать частого применения парацетамола, особенно в </w:t>
      </w:r>
      <w:r w:rsidRPr="00980AF7">
        <w:rPr>
          <w:rFonts w:ascii="Times New Roman" w:hAnsi="Times New Roman" w:cs="Times New Roman"/>
          <w:color w:val="auto"/>
        </w:rPr>
        <w:lastRenderedPageBreak/>
        <w:t>высоких дозах. Непрямые антикоагулянты: многократный прием парацетамола в течение более чем 4 дней увеличивает антикоагулянтный эффект. Следует проводить мониторинг международного нормализованного отношения (МНО) во время и после окончания одновременного применения парацетамола (особенно в высоких дозах и/или в течение продолжительного времени) и производных кумарина. Нерегулярный прием парацетамола не оказывает значимого влияния. Пропантелин и другие препараты, замедляющие эвакуацию из желудка, снижают скорость всасывания парацетамола, что может отсрочить или уменьшить наступление эффекта. Длительное совместное использование парацетамола и других НПВП повышает риск развития "анальгетической" нефропатии и почечного папиллярного некроза, наступления терминальной стадии почечной недостаточности. Одновременное длительное назначение парацетамола в высоких дозах и салицилатов повышает риск развития рака почки или мочевого пузыря.</w:t>
      </w:r>
    </w:p>
    <w:p w14:paraId="78CD6A78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980AF7">
        <w:rPr>
          <w:rFonts w:ascii="Times New Roman" w:hAnsi="Times New Roman" w:cs="Times New Roman"/>
          <w:i/>
          <w:iCs/>
          <w:color w:val="auto"/>
        </w:rPr>
        <w:t>Хлорфенамина малеат</w:t>
      </w:r>
    </w:p>
    <w:p w14:paraId="7B7A63CB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Антигистаминные препараты, такие как хлорфенамин, могут усилить эффект опиоидных анальгетиков, антиконвульсантов, антидепрессантов (трициклических и ингибиторов моноаминооксидазы), других антигистаминных, противорвотных и антипсихотических препаратов, анксиолитиков, снотворных средств, этанола (алкоголя) и других депрессантов центральной нервной системы.</w:t>
      </w:r>
    </w:p>
    <w:p w14:paraId="215359A9" w14:textId="5EF3EA63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Поскольку хлорфенамин в некоторой степени обладает антихолинергической активностью, эффекты антихолинергических препаратов (например, некоторых психотропных средств, атропина и препаратов для лечения недержания мочи) могут быть усилены при применении данного препарата. Это может привести к появлению тахикардии, сухости слизистой оболочки полости рта, нарушений со стороны желудочно-кишечного тракта (например, коликам), задержки мочи и головной боли.</w:t>
      </w:r>
    </w:p>
    <w:p w14:paraId="15A36610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Метаболизм фенитоина может подавляться хлорфенамином при этом возможно развитие токсичности фенитоина.</w:t>
      </w:r>
    </w:p>
    <w:p w14:paraId="388F3A19" w14:textId="77777777" w:rsidR="00980AF7" w:rsidRPr="009B6B6C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9B6B6C">
        <w:rPr>
          <w:rFonts w:ascii="Times New Roman" w:hAnsi="Times New Roman" w:cs="Times New Roman"/>
          <w:i/>
          <w:iCs/>
          <w:color w:val="auto"/>
        </w:rPr>
        <w:t>Аскорбиновая кислота</w:t>
      </w:r>
    </w:p>
    <w:p w14:paraId="69B49317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>Аскорбиновая кислота повышает всасывание лекарственных средств группы пенициллина, железа, снижает клинический эффект гепарина и непрямых антикоагулянтов, увеличивает риск развития кристаллурии при лечении салицилатами и сульфаниламидами короткого действия, замедляет выведение почками кислот, увеличивает выведение лекарственных средств, имеющих щелочную реакцию (в т.ч. алкалоидов), снижает концентрацию в крови пероральных контрацептивов.</w:t>
      </w:r>
    </w:p>
    <w:p w14:paraId="4F7BDA88" w14:textId="77777777" w:rsidR="00980AF7" w:rsidRPr="00980AF7" w:rsidRDefault="00980AF7" w:rsidP="00980AF7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AF7">
        <w:rPr>
          <w:rFonts w:ascii="Times New Roman" w:hAnsi="Times New Roman" w:cs="Times New Roman"/>
          <w:color w:val="auto"/>
        </w:rPr>
        <w:t xml:space="preserve">Не должна назначаться в первый месяц лечения дефероксамином в связи с увеличением токсичности железа. Большие дозы аскорбиновой кислоты могут приводить </w:t>
      </w:r>
      <w:r w:rsidRPr="00980AF7">
        <w:rPr>
          <w:rFonts w:ascii="Times New Roman" w:hAnsi="Times New Roman" w:cs="Times New Roman"/>
          <w:color w:val="auto"/>
        </w:rPr>
        <w:lastRenderedPageBreak/>
        <w:t>к увеличению концентрации этинилэстрадиола в плазме крови у женщин, принимающих пероральные контрацептивы. Одновременный прием аскорбиновой кислоты и флуфеназина может приводить к уменьшению концентрации флуфеназина в плазме крови.</w:t>
      </w:r>
    </w:p>
    <w:p w14:paraId="6EE711FC" w14:textId="77777777" w:rsidR="00443D41" w:rsidRPr="00CD4E87" w:rsidRDefault="00443D41" w:rsidP="00CD4E87">
      <w:pPr>
        <w:pStyle w:val="a4"/>
        <w:keepNext/>
        <w:shd w:val="clear" w:color="auto" w:fill="auto"/>
        <w:spacing w:after="0" w:line="360" w:lineRule="auto"/>
        <w:ind w:firstLine="0"/>
        <w:jc w:val="left"/>
        <w:rPr>
          <w:sz w:val="24"/>
          <w:szCs w:val="24"/>
        </w:rPr>
      </w:pPr>
      <w:r w:rsidRPr="00CD4E87">
        <w:rPr>
          <w:rStyle w:val="2"/>
          <w:bCs w:val="0"/>
          <w:sz w:val="24"/>
          <w:szCs w:val="24"/>
        </w:rPr>
        <w:t>Особые указания</w:t>
      </w:r>
    </w:p>
    <w:p w14:paraId="31A9EF2D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При приеме метоклопрамида, домперидона или колестирамина также необходимо проконсультироваться с врачом.</w:t>
      </w:r>
    </w:p>
    <w:p w14:paraId="5F496A49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При длительном применении в дозах, значительно превышающих рекомендованные, повышается вероятность нарушения функции печени и почек, необходим контроль периферической картины крови.</w:t>
      </w:r>
    </w:p>
    <w:p w14:paraId="1E7F63AA" w14:textId="77777777" w:rsidR="00CD4E87" w:rsidRP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Парацетамол и аскорбиновая кислота могут искажать показатели лабораторных исследований (количественное определение содержания глюкозы и мочевой кислоты в плазме крови, билирубина, активности «печеночных» трансаминаз, ЛДГ).</w:t>
      </w:r>
    </w:p>
    <w:p w14:paraId="181F2EE0" w14:textId="3AE8F601" w:rsidR="00CD4E87" w:rsidRDefault="00CD4E87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Во избежание токсического поражения печени парацетамол не следует сочетать с приемом алкогольных напитков, а также принимать лицам, склонным к хроническому потреблению алкоголя. Риск развития повреждений печени возрастает у больных с алкогольным гепатозом.</w:t>
      </w:r>
    </w:p>
    <w:p w14:paraId="1632639A" w14:textId="56C0548F" w:rsidR="0092243C" w:rsidRDefault="0092243C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Пациенты с дефицитом глутатиона подвержены передозировке, необходимо соблюдать осторожность. Зарегистрированы случаи развития печеночной недостаточности у пациентов с низким уровнем глутатиона, в частности у крайне истощенных пациентов, страдающих анорексией, лиц с хроническим алкоголизмом или пациентов с низким индексом массы тела. Применение парацетамола пациентами с низким уровнем глутатиона, например, при сепсисе, может повышать риск развития метаболического ацидоза.</w:t>
      </w:r>
    </w:p>
    <w:p w14:paraId="548EBF42" w14:textId="7DF1C2E0" w:rsidR="0092243C" w:rsidRPr="00CD4E87" w:rsidRDefault="0092243C" w:rsidP="00CD4E87">
      <w:pPr>
        <w:pStyle w:val="a4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Парацетамол может вызывать серьезные кожные реакции, такие как острый </w:t>
      </w:r>
      <w:r w:rsidR="00B15695">
        <w:rPr>
          <w:rStyle w:val="1"/>
          <w:sz w:val="24"/>
          <w:szCs w:val="24"/>
        </w:rPr>
        <w:t>генерализованный экзантематозный пустулез, синдром Стивена-Джонсона, токсический эпидермальный некролиз. При первом появлении сыпи или других реакций гиперчувствительности применение препарата должно быть прекращено.</w:t>
      </w:r>
    </w:p>
    <w:p w14:paraId="7F56111A" w14:textId="733B7FA2" w:rsidR="00CD4E87" w:rsidRDefault="00CD4E87" w:rsidP="00CD4E87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CD4E87">
        <w:rPr>
          <w:rStyle w:val="1"/>
          <w:sz w:val="24"/>
          <w:szCs w:val="24"/>
        </w:rPr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применять аскорбиновую кислоту в минимальных дозах.</w:t>
      </w:r>
    </w:p>
    <w:p w14:paraId="4C9C7179" w14:textId="3B07FB76" w:rsidR="00B15695" w:rsidRPr="00CD4E87" w:rsidRDefault="00B15695" w:rsidP="00CD4E87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Возможно развитие сонливости </w:t>
      </w:r>
      <w:r w:rsidR="00BF015F">
        <w:rPr>
          <w:rStyle w:val="1"/>
          <w:sz w:val="24"/>
          <w:szCs w:val="24"/>
        </w:rPr>
        <w:t xml:space="preserve">в </w:t>
      </w:r>
      <w:r>
        <w:rPr>
          <w:rStyle w:val="1"/>
          <w:sz w:val="24"/>
          <w:szCs w:val="24"/>
        </w:rPr>
        <w:t>течение нескольких часов после приема препарата.</w:t>
      </w:r>
    </w:p>
    <w:p w14:paraId="4049383E" w14:textId="77777777" w:rsidR="006F15FD" w:rsidRPr="006E29CF" w:rsidRDefault="006F15FD" w:rsidP="006F15F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6E29CF">
        <w:rPr>
          <w:rFonts w:ascii="Times New Roman" w:hAnsi="Times New Roman" w:cs="Times New Roman"/>
          <w:b/>
          <w:color w:val="auto"/>
        </w:rPr>
        <w:t>Влияние на способность управлять транспортными средствами, механизмами</w:t>
      </w:r>
    </w:p>
    <w:p w14:paraId="53FF6CC7" w14:textId="42EFA0D3" w:rsidR="006F15FD" w:rsidRDefault="006E29CF" w:rsidP="006E29C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</w:rPr>
        <w:t xml:space="preserve">При применении препарата необходимо соблюдать осторожность при управлении </w:t>
      </w:r>
      <w:r w:rsidRPr="006E29CF">
        <w:rPr>
          <w:rFonts w:ascii="Times New Roman" w:hAnsi="Times New Roman" w:cs="Times New Roman"/>
          <w:color w:val="auto"/>
        </w:rPr>
        <w:lastRenderedPageBreak/>
        <w:t>транспортными средствами и занятии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6B3F2CBC" w14:textId="77777777" w:rsidR="00B15695" w:rsidRPr="00515ACD" w:rsidRDefault="00B15695" w:rsidP="00B15695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515ACD">
        <w:rPr>
          <w:rStyle w:val="2"/>
          <w:b/>
          <w:bCs/>
          <w:sz w:val="24"/>
          <w:szCs w:val="24"/>
        </w:rPr>
        <w:t>Форма выпуска</w:t>
      </w:r>
    </w:p>
    <w:p w14:paraId="592DEC96" w14:textId="77777777" w:rsidR="0068177A" w:rsidRPr="0068177A" w:rsidRDefault="0068177A" w:rsidP="0068177A">
      <w:pPr>
        <w:spacing w:line="360" w:lineRule="auto"/>
        <w:ind w:firstLine="709"/>
        <w:jc w:val="both"/>
        <w:rPr>
          <w:rStyle w:val="21"/>
          <w:color w:val="auto"/>
          <w:sz w:val="24"/>
          <w:szCs w:val="24"/>
        </w:rPr>
      </w:pPr>
      <w:r w:rsidRPr="0068177A">
        <w:rPr>
          <w:rStyle w:val="21"/>
          <w:color w:val="auto"/>
          <w:sz w:val="24"/>
          <w:szCs w:val="24"/>
        </w:rPr>
        <w:t>Порошок для приготовления раствора для приема внутрь [со вкусом лайма, со вкусом лимона и меда, со вкусом клюквы, со вкусом малины], 500 мг + 10 мг + 200 мг.</w:t>
      </w:r>
    </w:p>
    <w:p w14:paraId="51DA138D" w14:textId="77777777" w:rsidR="0068177A" w:rsidRPr="0068177A" w:rsidRDefault="0068177A" w:rsidP="0068177A">
      <w:pPr>
        <w:spacing w:line="360" w:lineRule="auto"/>
        <w:ind w:firstLine="709"/>
        <w:jc w:val="both"/>
        <w:rPr>
          <w:rStyle w:val="21"/>
          <w:color w:val="auto"/>
          <w:sz w:val="24"/>
          <w:szCs w:val="24"/>
        </w:rPr>
      </w:pPr>
      <w:r w:rsidRPr="0068177A">
        <w:rPr>
          <w:rStyle w:val="21"/>
          <w:color w:val="auto"/>
          <w:sz w:val="24"/>
          <w:szCs w:val="24"/>
        </w:rPr>
        <w:t>По 5 г в пакетики из упаковочного комбинированного материала (Б/ПЭ/Ф/ПЭ).</w:t>
      </w:r>
    </w:p>
    <w:p w14:paraId="362CF8FE" w14:textId="77777777" w:rsidR="0068177A" w:rsidRPr="0068177A" w:rsidRDefault="0068177A" w:rsidP="0068177A">
      <w:pPr>
        <w:spacing w:line="360" w:lineRule="auto"/>
        <w:ind w:firstLine="709"/>
        <w:jc w:val="both"/>
        <w:rPr>
          <w:rStyle w:val="21"/>
          <w:color w:val="auto"/>
          <w:sz w:val="24"/>
          <w:szCs w:val="24"/>
        </w:rPr>
      </w:pPr>
      <w:r w:rsidRPr="0068177A">
        <w:rPr>
          <w:rStyle w:val="21"/>
          <w:color w:val="auto"/>
          <w:sz w:val="24"/>
          <w:szCs w:val="24"/>
        </w:rPr>
        <w:t>По 2, 3, 4, 5, 6, 8, 10, 12, 15, 20, 24 или 30 пакетиков вместе с инструкцией по применению помещают в пачку из картона.</w:t>
      </w:r>
    </w:p>
    <w:p w14:paraId="1FB83D1D" w14:textId="7A120408" w:rsidR="00B15695" w:rsidRPr="006E29CF" w:rsidRDefault="0068177A" w:rsidP="0068177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8177A">
        <w:rPr>
          <w:rStyle w:val="21"/>
          <w:color w:val="auto"/>
          <w:sz w:val="24"/>
          <w:szCs w:val="24"/>
        </w:rPr>
        <w:t>Пакетики могут быть размещены индивидуально или скреплены попарно.</w:t>
      </w:r>
    </w:p>
    <w:p w14:paraId="08FCE85C" w14:textId="77777777" w:rsidR="006F15FD" w:rsidRPr="006E29CF" w:rsidRDefault="006F15FD" w:rsidP="006E29CF">
      <w:pPr>
        <w:keepNext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6E29CF">
        <w:rPr>
          <w:rFonts w:ascii="Times New Roman" w:hAnsi="Times New Roman" w:cs="Times New Roman"/>
          <w:b/>
          <w:color w:val="auto"/>
        </w:rPr>
        <w:t>Срок годности</w:t>
      </w:r>
    </w:p>
    <w:p w14:paraId="696AD1A2" w14:textId="77777777" w:rsidR="006F15FD" w:rsidRPr="006E29CF" w:rsidRDefault="006E29CF" w:rsidP="00C00DF0">
      <w:pPr>
        <w:keepNext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</w:rPr>
        <w:t>3</w:t>
      </w:r>
      <w:r w:rsidR="006F15FD" w:rsidRPr="006E29CF">
        <w:rPr>
          <w:rFonts w:ascii="Times New Roman" w:hAnsi="Times New Roman" w:cs="Times New Roman"/>
          <w:color w:val="auto"/>
        </w:rPr>
        <w:t xml:space="preserve"> года.</w:t>
      </w:r>
    </w:p>
    <w:p w14:paraId="41F9273E" w14:textId="77777777" w:rsidR="006F15FD" w:rsidRPr="006E29CF" w:rsidRDefault="006F15FD" w:rsidP="006E29C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</w:rPr>
        <w:t xml:space="preserve">Не </w:t>
      </w:r>
      <w:r w:rsidR="006E29CF" w:rsidRPr="006E29CF">
        <w:rPr>
          <w:rFonts w:ascii="Times New Roman" w:hAnsi="Times New Roman" w:cs="Times New Roman"/>
          <w:color w:val="auto"/>
        </w:rPr>
        <w:t>применять</w:t>
      </w:r>
      <w:r w:rsidRPr="006E29CF">
        <w:rPr>
          <w:rFonts w:ascii="Times New Roman" w:hAnsi="Times New Roman" w:cs="Times New Roman"/>
          <w:color w:val="auto"/>
        </w:rPr>
        <w:t xml:space="preserve"> по истечении срока годности.</w:t>
      </w:r>
    </w:p>
    <w:p w14:paraId="0E6344E0" w14:textId="77777777" w:rsidR="00443D41" w:rsidRPr="006E29CF" w:rsidRDefault="00443D41" w:rsidP="00DF54A0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6E29CF">
        <w:rPr>
          <w:rStyle w:val="2"/>
          <w:b/>
          <w:bCs/>
          <w:sz w:val="24"/>
          <w:szCs w:val="24"/>
        </w:rPr>
        <w:t>Условия хранения</w:t>
      </w:r>
    </w:p>
    <w:p w14:paraId="11560691" w14:textId="22728239" w:rsidR="00443D41" w:rsidRPr="006E29CF" w:rsidRDefault="00DF54A0" w:rsidP="006E29CF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6E29CF">
        <w:rPr>
          <w:rStyle w:val="1"/>
          <w:sz w:val="24"/>
          <w:szCs w:val="24"/>
        </w:rPr>
        <w:t>При температуре не выше 25 °С.</w:t>
      </w:r>
    </w:p>
    <w:p w14:paraId="2C469D34" w14:textId="77777777" w:rsidR="00443D41" w:rsidRPr="006E29CF" w:rsidRDefault="00443D41" w:rsidP="006E29CF">
      <w:pPr>
        <w:pStyle w:val="a4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6E29CF">
        <w:rPr>
          <w:rStyle w:val="1"/>
          <w:sz w:val="24"/>
          <w:szCs w:val="24"/>
        </w:rPr>
        <w:t>Хранить в недоступном для детей месте.</w:t>
      </w:r>
    </w:p>
    <w:p w14:paraId="2C099408" w14:textId="77777777" w:rsidR="00443D41" w:rsidRPr="006E29CF" w:rsidRDefault="00443D41" w:rsidP="00DF54A0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6E29CF">
        <w:rPr>
          <w:rStyle w:val="2"/>
          <w:b/>
          <w:bCs/>
          <w:sz w:val="24"/>
          <w:szCs w:val="24"/>
        </w:rPr>
        <w:t>Условия отпуска из аптек</w:t>
      </w:r>
    </w:p>
    <w:p w14:paraId="0680BCF8" w14:textId="77777777" w:rsidR="00443D41" w:rsidRPr="006E29CF" w:rsidRDefault="00443D41" w:rsidP="006E29CF">
      <w:pPr>
        <w:pStyle w:val="a4"/>
        <w:shd w:val="clear" w:color="auto" w:fill="auto"/>
        <w:spacing w:after="0" w:line="360" w:lineRule="auto"/>
        <w:ind w:firstLine="709"/>
        <w:jc w:val="both"/>
        <w:rPr>
          <w:rStyle w:val="1"/>
          <w:sz w:val="24"/>
          <w:szCs w:val="24"/>
        </w:rPr>
      </w:pPr>
      <w:r w:rsidRPr="006E29CF">
        <w:rPr>
          <w:rStyle w:val="1"/>
          <w:sz w:val="24"/>
          <w:szCs w:val="24"/>
        </w:rPr>
        <w:t>Отпускают без рецепта.</w:t>
      </w:r>
    </w:p>
    <w:p w14:paraId="13DE2334" w14:textId="77777777" w:rsidR="00D974DD" w:rsidRPr="006E29CF" w:rsidRDefault="00D974DD" w:rsidP="00DF54A0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6E29CF">
        <w:rPr>
          <w:rFonts w:ascii="Times New Roman" w:hAnsi="Times New Roman" w:cs="Times New Roman"/>
          <w:b/>
          <w:color w:val="auto"/>
          <w:lang w:eastAsia="en-US"/>
        </w:rPr>
        <w:t xml:space="preserve">Производитель / </w:t>
      </w:r>
      <w:r w:rsidRPr="006E29CF">
        <w:rPr>
          <w:rFonts w:ascii="Times New Roman" w:hAnsi="Times New Roman" w:cs="Times New Roman"/>
          <w:b/>
          <w:bCs/>
          <w:color w:val="auto"/>
          <w:lang w:eastAsia="en-US"/>
        </w:rPr>
        <w:t>Организация, принимающая претензии:</w:t>
      </w:r>
    </w:p>
    <w:p w14:paraId="4BF942B4" w14:textId="77777777" w:rsidR="00D974DD" w:rsidRPr="006E29CF" w:rsidRDefault="00D974DD" w:rsidP="006E29CF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  <w:lang w:eastAsia="en-US"/>
        </w:rPr>
        <w:t xml:space="preserve">ООО НПО «ФармВИЛАР», </w:t>
      </w:r>
      <w:r w:rsidRPr="006E29CF">
        <w:rPr>
          <w:rFonts w:ascii="Times New Roman" w:hAnsi="Times New Roman" w:cs="Times New Roman"/>
          <w:color w:val="auto"/>
        </w:rPr>
        <w:t xml:space="preserve">Россия, </w:t>
      </w:r>
    </w:p>
    <w:p w14:paraId="3480D1CD" w14:textId="77777777" w:rsidR="00D974DD" w:rsidRPr="006E29CF" w:rsidRDefault="00D974DD" w:rsidP="00AB370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6E29CF">
        <w:rPr>
          <w:rFonts w:ascii="Times New Roman" w:hAnsi="Times New Roman" w:cs="Times New Roman"/>
          <w:color w:val="auto"/>
        </w:rPr>
        <w:t>249096, Калужская область,</w:t>
      </w:r>
      <w:r w:rsidR="00AB3706">
        <w:rPr>
          <w:rFonts w:ascii="Times New Roman" w:hAnsi="Times New Roman" w:cs="Times New Roman"/>
          <w:color w:val="auto"/>
        </w:rPr>
        <w:t xml:space="preserve"> Малоярославецкий район,</w:t>
      </w:r>
      <w:r w:rsidRPr="006E29CF">
        <w:rPr>
          <w:rFonts w:ascii="Times New Roman" w:hAnsi="Times New Roman" w:cs="Times New Roman"/>
          <w:color w:val="auto"/>
        </w:rPr>
        <w:t xml:space="preserve"> г. Малоярославец, ул.</w:t>
      </w:r>
      <w:r w:rsidR="00AB3706">
        <w:rPr>
          <w:rFonts w:ascii="Times New Roman" w:hAnsi="Times New Roman" w:cs="Times New Roman"/>
          <w:color w:val="auto"/>
        </w:rPr>
        <w:t> </w:t>
      </w:r>
      <w:r w:rsidRPr="006E29CF">
        <w:rPr>
          <w:rFonts w:ascii="Times New Roman" w:hAnsi="Times New Roman" w:cs="Times New Roman"/>
          <w:color w:val="auto"/>
        </w:rPr>
        <w:t>Коммунистическая, д. 115</w:t>
      </w:r>
    </w:p>
    <w:p w14:paraId="4CFD7A37" w14:textId="77777777" w:rsidR="00D974DD" w:rsidRPr="006E29CF" w:rsidRDefault="00D974DD" w:rsidP="006E29CF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Cs/>
          <w:color w:val="auto"/>
          <w:lang w:eastAsia="en-US"/>
        </w:rPr>
      </w:pPr>
      <w:r w:rsidRPr="006E29CF">
        <w:rPr>
          <w:rFonts w:ascii="Times New Roman" w:hAnsi="Times New Roman" w:cs="Times New Roman"/>
          <w:bCs/>
          <w:color w:val="auto"/>
          <w:lang w:eastAsia="en-US"/>
        </w:rPr>
        <w:t>Тел</w:t>
      </w:r>
      <w:r w:rsidR="00DF54A0" w:rsidRPr="006E29CF">
        <w:rPr>
          <w:rFonts w:ascii="Times New Roman" w:hAnsi="Times New Roman" w:cs="Times New Roman"/>
          <w:bCs/>
          <w:color w:val="auto"/>
          <w:lang w:eastAsia="en-US"/>
        </w:rPr>
        <w:t>.</w:t>
      </w:r>
      <w:r w:rsidRPr="006E29CF">
        <w:rPr>
          <w:rFonts w:ascii="Times New Roman" w:hAnsi="Times New Roman" w:cs="Times New Roman"/>
          <w:bCs/>
          <w:color w:val="auto"/>
          <w:lang w:eastAsia="en-US"/>
        </w:rPr>
        <w:t>/факс: +7 (48431) 2-27-18</w:t>
      </w:r>
    </w:p>
    <w:p w14:paraId="33467A88" w14:textId="77777777" w:rsidR="0084203D" w:rsidRPr="006E29CF" w:rsidRDefault="0084203D" w:rsidP="0084203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6E29CF">
        <w:rPr>
          <w:rFonts w:ascii="Times New Roman" w:hAnsi="Times New Roman" w:cs="Times New Roman"/>
          <w:b/>
          <w:color w:val="auto"/>
        </w:rPr>
        <w:t>Владелец регистрационного удостоверения</w:t>
      </w:r>
    </w:p>
    <w:p w14:paraId="31D7721F" w14:textId="77777777" w:rsidR="0084203D" w:rsidRPr="006E29CF" w:rsidRDefault="0084203D" w:rsidP="006E29C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</w:rPr>
        <w:t xml:space="preserve">ООО НПО «ФармВИЛАР», Россия, </w:t>
      </w:r>
    </w:p>
    <w:p w14:paraId="3141EA60" w14:textId="77777777" w:rsidR="0084203D" w:rsidRPr="006E29CF" w:rsidRDefault="00AB3706" w:rsidP="006E29C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E29CF">
        <w:rPr>
          <w:rFonts w:ascii="Times New Roman" w:hAnsi="Times New Roman" w:cs="Times New Roman"/>
          <w:color w:val="auto"/>
        </w:rPr>
        <w:t>249096, Калужская область,</w:t>
      </w:r>
      <w:r>
        <w:rPr>
          <w:rFonts w:ascii="Times New Roman" w:hAnsi="Times New Roman" w:cs="Times New Roman"/>
          <w:color w:val="auto"/>
        </w:rPr>
        <w:t xml:space="preserve"> Малоярославецкий район,</w:t>
      </w:r>
      <w:r w:rsidRPr="006E29CF">
        <w:rPr>
          <w:rFonts w:ascii="Times New Roman" w:hAnsi="Times New Roman" w:cs="Times New Roman"/>
          <w:color w:val="auto"/>
        </w:rPr>
        <w:t xml:space="preserve"> г. Малоярославец, ул.</w:t>
      </w:r>
      <w:r>
        <w:rPr>
          <w:rFonts w:ascii="Times New Roman" w:hAnsi="Times New Roman" w:cs="Times New Roman"/>
          <w:color w:val="auto"/>
        </w:rPr>
        <w:t> </w:t>
      </w:r>
      <w:r w:rsidRPr="006E29CF">
        <w:rPr>
          <w:rFonts w:ascii="Times New Roman" w:hAnsi="Times New Roman" w:cs="Times New Roman"/>
          <w:color w:val="auto"/>
        </w:rPr>
        <w:t>Коммунистическая, д. 115</w:t>
      </w:r>
    </w:p>
    <w:p w14:paraId="48C939EB" w14:textId="77777777" w:rsidR="0084203D" w:rsidRPr="006E29CF" w:rsidRDefault="0084203D" w:rsidP="006E29CF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Cs/>
          <w:color w:val="auto"/>
          <w:lang w:eastAsia="en-US"/>
        </w:rPr>
      </w:pPr>
      <w:r w:rsidRPr="006E29CF">
        <w:rPr>
          <w:rFonts w:ascii="Times New Roman" w:hAnsi="Times New Roman" w:cs="Times New Roman"/>
          <w:color w:val="auto"/>
        </w:rPr>
        <w:t>Тел./факс: + 7 (48431) 2-27-18</w:t>
      </w:r>
    </w:p>
    <w:p w14:paraId="078AAE7D" w14:textId="77777777" w:rsidR="00D974DD" w:rsidRPr="006E29CF" w:rsidRDefault="00D974DD" w:rsidP="00D974DD">
      <w:pPr>
        <w:pStyle w:val="a4"/>
        <w:shd w:val="clear" w:color="auto" w:fill="auto"/>
        <w:spacing w:after="445" w:line="360" w:lineRule="auto"/>
        <w:ind w:left="20" w:firstLine="0"/>
        <w:jc w:val="both"/>
        <w:rPr>
          <w:sz w:val="24"/>
          <w:szCs w:val="24"/>
        </w:rPr>
      </w:pPr>
    </w:p>
    <w:sectPr w:rsidR="00D974DD" w:rsidRPr="006E29CF" w:rsidSect="00CB68CF">
      <w:footerReference w:type="default" r:id="rId8"/>
      <w:type w:val="continuous"/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598B7" w14:textId="77777777" w:rsidR="00881A41" w:rsidRDefault="00881A41" w:rsidP="00CC3A75">
      <w:r>
        <w:separator/>
      </w:r>
    </w:p>
  </w:endnote>
  <w:endnote w:type="continuationSeparator" w:id="0">
    <w:p w14:paraId="7371DA46" w14:textId="77777777" w:rsidR="00881A41" w:rsidRDefault="00881A41" w:rsidP="00CC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235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C082879" w14:textId="77777777" w:rsidR="00CC3A75" w:rsidRPr="00CC3A75" w:rsidRDefault="00CC3A75">
        <w:pPr>
          <w:pStyle w:val="af1"/>
          <w:jc w:val="right"/>
          <w:rPr>
            <w:rFonts w:ascii="Times New Roman" w:hAnsi="Times New Roman" w:cs="Times New Roman"/>
            <w:sz w:val="22"/>
            <w:szCs w:val="22"/>
          </w:rPr>
        </w:pPr>
        <w:r w:rsidRPr="00CC3A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C3A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CC3A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40180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CC3A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0058AEB" w14:textId="77777777" w:rsidR="00CC3A75" w:rsidRDefault="00CC3A7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D7483" w14:textId="77777777" w:rsidR="00881A41" w:rsidRDefault="00881A41" w:rsidP="00CC3A75">
      <w:r>
        <w:separator/>
      </w:r>
    </w:p>
  </w:footnote>
  <w:footnote w:type="continuationSeparator" w:id="0">
    <w:p w14:paraId="77060048" w14:textId="77777777" w:rsidR="00881A41" w:rsidRDefault="00881A41" w:rsidP="00CC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GrammaticalErrors/>
  <w:proofState w:spelling="clean" w:grammar="clean"/>
  <w:documentProtection w:edit="readOnly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0E"/>
    <w:rsid w:val="00021762"/>
    <w:rsid w:val="000265A2"/>
    <w:rsid w:val="0003105D"/>
    <w:rsid w:val="000372DE"/>
    <w:rsid w:val="00062DCE"/>
    <w:rsid w:val="0007562C"/>
    <w:rsid w:val="00085FE8"/>
    <w:rsid w:val="000A3005"/>
    <w:rsid w:val="000B4E63"/>
    <w:rsid w:val="000B5884"/>
    <w:rsid w:val="000E5EF3"/>
    <w:rsid w:val="000F4225"/>
    <w:rsid w:val="000F4A76"/>
    <w:rsid w:val="001270D9"/>
    <w:rsid w:val="00142CA8"/>
    <w:rsid w:val="001752F4"/>
    <w:rsid w:val="00181886"/>
    <w:rsid w:val="00186617"/>
    <w:rsid w:val="0018756D"/>
    <w:rsid w:val="001A6E7D"/>
    <w:rsid w:val="001B47AD"/>
    <w:rsid w:val="001F33D9"/>
    <w:rsid w:val="00200514"/>
    <w:rsid w:val="00201215"/>
    <w:rsid w:val="0023055C"/>
    <w:rsid w:val="00240180"/>
    <w:rsid w:val="00263E7A"/>
    <w:rsid w:val="002A74F4"/>
    <w:rsid w:val="002C0795"/>
    <w:rsid w:val="002C7628"/>
    <w:rsid w:val="002F2BF0"/>
    <w:rsid w:val="003111F5"/>
    <w:rsid w:val="0037766D"/>
    <w:rsid w:val="003825D2"/>
    <w:rsid w:val="003A5328"/>
    <w:rsid w:val="003B6F4D"/>
    <w:rsid w:val="003E1D7E"/>
    <w:rsid w:val="003E27F3"/>
    <w:rsid w:val="003F6BFA"/>
    <w:rsid w:val="00432C41"/>
    <w:rsid w:val="00443D41"/>
    <w:rsid w:val="00475975"/>
    <w:rsid w:val="004E1CCE"/>
    <w:rsid w:val="004F25DD"/>
    <w:rsid w:val="005006F5"/>
    <w:rsid w:val="00512B42"/>
    <w:rsid w:val="00515ACD"/>
    <w:rsid w:val="00531B6B"/>
    <w:rsid w:val="0054449A"/>
    <w:rsid w:val="0055182F"/>
    <w:rsid w:val="00575503"/>
    <w:rsid w:val="00585607"/>
    <w:rsid w:val="00591AB9"/>
    <w:rsid w:val="0059221B"/>
    <w:rsid w:val="005B7E2B"/>
    <w:rsid w:val="0061125B"/>
    <w:rsid w:val="006114DD"/>
    <w:rsid w:val="00611C41"/>
    <w:rsid w:val="006155AB"/>
    <w:rsid w:val="00623758"/>
    <w:rsid w:val="006431AB"/>
    <w:rsid w:val="00650A1E"/>
    <w:rsid w:val="00671CB8"/>
    <w:rsid w:val="0068177A"/>
    <w:rsid w:val="00686C22"/>
    <w:rsid w:val="006B71C8"/>
    <w:rsid w:val="006C54DF"/>
    <w:rsid w:val="006E29CF"/>
    <w:rsid w:val="006E7D3D"/>
    <w:rsid w:val="006F15FD"/>
    <w:rsid w:val="00703EE7"/>
    <w:rsid w:val="00707512"/>
    <w:rsid w:val="007105C9"/>
    <w:rsid w:val="007228CF"/>
    <w:rsid w:val="007A3336"/>
    <w:rsid w:val="007A4FBE"/>
    <w:rsid w:val="007C02B7"/>
    <w:rsid w:val="007D7EC5"/>
    <w:rsid w:val="00800B2D"/>
    <w:rsid w:val="008075A1"/>
    <w:rsid w:val="00823DC0"/>
    <w:rsid w:val="0084203D"/>
    <w:rsid w:val="0087233E"/>
    <w:rsid w:val="00881A41"/>
    <w:rsid w:val="008C67F6"/>
    <w:rsid w:val="008D117A"/>
    <w:rsid w:val="008E0DB4"/>
    <w:rsid w:val="00903067"/>
    <w:rsid w:val="00920352"/>
    <w:rsid w:val="0092243C"/>
    <w:rsid w:val="00965017"/>
    <w:rsid w:val="00980AF7"/>
    <w:rsid w:val="00985B18"/>
    <w:rsid w:val="009A20EB"/>
    <w:rsid w:val="009A4E12"/>
    <w:rsid w:val="009A6578"/>
    <w:rsid w:val="009B6B6C"/>
    <w:rsid w:val="009C6544"/>
    <w:rsid w:val="009C698C"/>
    <w:rsid w:val="009E5CD2"/>
    <w:rsid w:val="009F25AD"/>
    <w:rsid w:val="00A00AB0"/>
    <w:rsid w:val="00A45875"/>
    <w:rsid w:val="00A53127"/>
    <w:rsid w:val="00A70A0E"/>
    <w:rsid w:val="00A70A1F"/>
    <w:rsid w:val="00AA0CF4"/>
    <w:rsid w:val="00AB3706"/>
    <w:rsid w:val="00AB699D"/>
    <w:rsid w:val="00AF2508"/>
    <w:rsid w:val="00AF77B2"/>
    <w:rsid w:val="00B15695"/>
    <w:rsid w:val="00B41A0D"/>
    <w:rsid w:val="00B51F94"/>
    <w:rsid w:val="00B522C3"/>
    <w:rsid w:val="00B553DA"/>
    <w:rsid w:val="00B723FB"/>
    <w:rsid w:val="00B775F5"/>
    <w:rsid w:val="00B80C17"/>
    <w:rsid w:val="00B95996"/>
    <w:rsid w:val="00BF015F"/>
    <w:rsid w:val="00BF3255"/>
    <w:rsid w:val="00C00DF0"/>
    <w:rsid w:val="00C0293F"/>
    <w:rsid w:val="00C129D5"/>
    <w:rsid w:val="00C228EE"/>
    <w:rsid w:val="00C4770E"/>
    <w:rsid w:val="00C679B3"/>
    <w:rsid w:val="00C85069"/>
    <w:rsid w:val="00CB68CF"/>
    <w:rsid w:val="00CC3A75"/>
    <w:rsid w:val="00CD4E87"/>
    <w:rsid w:val="00CE62BA"/>
    <w:rsid w:val="00D4446F"/>
    <w:rsid w:val="00D5611A"/>
    <w:rsid w:val="00D631F0"/>
    <w:rsid w:val="00D75962"/>
    <w:rsid w:val="00D90FBB"/>
    <w:rsid w:val="00D974DD"/>
    <w:rsid w:val="00DC09C0"/>
    <w:rsid w:val="00DF54A0"/>
    <w:rsid w:val="00E0320C"/>
    <w:rsid w:val="00E315F2"/>
    <w:rsid w:val="00E4229D"/>
    <w:rsid w:val="00E562A1"/>
    <w:rsid w:val="00E709B8"/>
    <w:rsid w:val="00E87CA1"/>
    <w:rsid w:val="00EB59FF"/>
    <w:rsid w:val="00EC4665"/>
    <w:rsid w:val="00ED733B"/>
    <w:rsid w:val="00F13AE2"/>
    <w:rsid w:val="00F347E8"/>
    <w:rsid w:val="00F40C06"/>
    <w:rsid w:val="00F522E8"/>
    <w:rsid w:val="00F54A3A"/>
    <w:rsid w:val="00F64E65"/>
    <w:rsid w:val="00F65678"/>
    <w:rsid w:val="00F675BB"/>
    <w:rsid w:val="00F755AD"/>
    <w:rsid w:val="00F937BE"/>
    <w:rsid w:val="00FA5818"/>
    <w:rsid w:val="00FA5ED6"/>
    <w:rsid w:val="00FB05A2"/>
    <w:rsid w:val="00FB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BE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D974D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D974D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a6">
    <w:name w:val="Основной текст + Курсив"/>
    <w:basedOn w:val="1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360" w:line="322" w:lineRule="exact"/>
      <w:ind w:hanging="340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60" w:after="60" w:line="240" w:lineRule="atLeas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0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9C0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C69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698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698C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9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698C"/>
    <w:rPr>
      <w:b/>
      <w:bCs/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3A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3A7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CC3A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3A75"/>
    <w:rPr>
      <w:color w:val="000000"/>
    </w:rPr>
  </w:style>
  <w:style w:type="paragraph" w:customStyle="1" w:styleId="Default">
    <w:name w:val="Default"/>
    <w:rsid w:val="00A70A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D974D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D974D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a6">
    <w:name w:val="Основной текст + Курсив"/>
    <w:basedOn w:val="1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360" w:line="322" w:lineRule="exact"/>
      <w:ind w:hanging="340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60" w:after="60" w:line="240" w:lineRule="atLeas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0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9C0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C69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698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698C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9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698C"/>
    <w:rPr>
      <w:b/>
      <w:bCs/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3A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3A7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CC3A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3A75"/>
    <w:rPr>
      <w:color w:val="000000"/>
    </w:rPr>
  </w:style>
  <w:style w:type="paragraph" w:customStyle="1" w:styleId="Default">
    <w:name w:val="Default"/>
    <w:rsid w:val="00A70A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1.INS-006922_003.gif</vt:lpstr>
    </vt:vector>
  </TitlesOfParts>
  <Company/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1.INS-006922_003.gif</dc:title>
  <dc:subject/>
  <dc:creator>Александра</dc:creator>
  <cp:keywords/>
  <dc:description/>
  <cp:lastModifiedBy>HP</cp:lastModifiedBy>
  <cp:revision>67</cp:revision>
  <cp:lastPrinted>2018-05-30T13:36:00Z</cp:lastPrinted>
  <dcterms:created xsi:type="dcterms:W3CDTF">2016-10-20T09:28:00Z</dcterms:created>
  <dcterms:modified xsi:type="dcterms:W3CDTF">2020-06-17T10:15:00Z</dcterms:modified>
</cp:coreProperties>
</file>