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5B58B" w14:textId="77777777" w:rsidR="00D21857" w:rsidRPr="00D21857" w:rsidRDefault="00D21857" w:rsidP="00D21857">
      <w:pPr>
        <w:spacing w:after="0" w:line="360" w:lineRule="auto"/>
        <w:jc w:val="center"/>
        <w:rPr>
          <w:b/>
          <w:sz w:val="24"/>
          <w:szCs w:val="24"/>
        </w:rPr>
      </w:pPr>
      <w:r w:rsidRPr="00D21857">
        <w:rPr>
          <w:b/>
          <w:sz w:val="24"/>
          <w:szCs w:val="24"/>
        </w:rPr>
        <w:t>МИНИСТЕРСТВО ЗДРАВООХРАНЕНИЯ РОССИЙСКОЙ ФЕДЕРАЦИИ</w:t>
      </w:r>
    </w:p>
    <w:p w14:paraId="4AF4BA09" w14:textId="77777777" w:rsidR="00D21857" w:rsidRPr="00D21857" w:rsidRDefault="00D21857" w:rsidP="00D21857">
      <w:pPr>
        <w:spacing w:after="0" w:line="360" w:lineRule="auto"/>
        <w:jc w:val="center"/>
        <w:rPr>
          <w:b/>
          <w:sz w:val="24"/>
          <w:szCs w:val="24"/>
        </w:rPr>
      </w:pPr>
    </w:p>
    <w:p w14:paraId="596BA786" w14:textId="1C3CEB4B" w:rsidR="00D21857" w:rsidRPr="00D21857" w:rsidRDefault="00D21857" w:rsidP="00D21857">
      <w:pPr>
        <w:spacing w:after="0" w:line="360" w:lineRule="auto"/>
        <w:jc w:val="center"/>
        <w:rPr>
          <w:b/>
          <w:sz w:val="24"/>
          <w:szCs w:val="24"/>
        </w:rPr>
      </w:pPr>
      <w:r w:rsidRPr="00D21857">
        <w:rPr>
          <w:b/>
          <w:sz w:val="24"/>
          <w:szCs w:val="24"/>
        </w:rPr>
        <w:t>ИНСТРУКЦИЯ</w:t>
      </w:r>
      <w:r>
        <w:rPr>
          <w:b/>
          <w:sz w:val="24"/>
          <w:szCs w:val="24"/>
        </w:rPr>
        <w:t xml:space="preserve"> </w:t>
      </w:r>
      <w:r w:rsidRPr="00D21857">
        <w:rPr>
          <w:b/>
          <w:sz w:val="24"/>
          <w:szCs w:val="24"/>
        </w:rPr>
        <w:t>ПО МЕДИЦИНСКОМУ ПРИМЕНЕНИЮ ЛЕКАРСТВЕННОГО ПРЕПАРАТА</w:t>
      </w:r>
    </w:p>
    <w:p w14:paraId="1206969A" w14:textId="77777777" w:rsidR="00D21857" w:rsidRPr="00D21857" w:rsidRDefault="00D21857" w:rsidP="00D21857">
      <w:pPr>
        <w:spacing w:after="0" w:line="360" w:lineRule="auto"/>
        <w:jc w:val="center"/>
        <w:rPr>
          <w:b/>
          <w:sz w:val="24"/>
          <w:szCs w:val="24"/>
        </w:rPr>
      </w:pPr>
    </w:p>
    <w:p w14:paraId="6B137031" w14:textId="21CC3A09" w:rsidR="00C13B64" w:rsidRPr="003C1184" w:rsidRDefault="00D21857" w:rsidP="00D21857">
      <w:pPr>
        <w:spacing w:after="0" w:line="360" w:lineRule="auto"/>
        <w:jc w:val="center"/>
        <w:rPr>
          <w:b/>
          <w:sz w:val="24"/>
          <w:szCs w:val="24"/>
        </w:rPr>
      </w:pPr>
      <w:r w:rsidRPr="00D21857">
        <w:rPr>
          <w:b/>
          <w:sz w:val="24"/>
          <w:szCs w:val="24"/>
        </w:rPr>
        <w:t>ТРИАЛГИН</w:t>
      </w:r>
      <w:r w:rsidRPr="00D21857">
        <w:rPr>
          <w:b/>
          <w:sz w:val="24"/>
          <w:szCs w:val="24"/>
          <w:vertAlign w:val="superscript"/>
        </w:rPr>
        <w:t>®</w:t>
      </w:r>
    </w:p>
    <w:p w14:paraId="63C3EE73" w14:textId="77777777" w:rsidR="00C13B64" w:rsidRPr="003C1184" w:rsidRDefault="00C13B64" w:rsidP="003C1184">
      <w:pPr>
        <w:spacing w:after="0" w:line="360" w:lineRule="auto"/>
        <w:jc w:val="center"/>
        <w:rPr>
          <w:sz w:val="24"/>
          <w:szCs w:val="24"/>
        </w:rPr>
      </w:pPr>
    </w:p>
    <w:p w14:paraId="342211FF" w14:textId="51EB8A70" w:rsidR="00EF5F0B" w:rsidRPr="00EF5F0B" w:rsidRDefault="00C13B64" w:rsidP="00EF5F0B">
      <w:pPr>
        <w:pStyle w:val="1"/>
        <w:spacing w:before="0" w:after="0" w:line="360" w:lineRule="auto"/>
        <w:rPr>
          <w:sz w:val="24"/>
          <w:szCs w:val="24"/>
          <w:lang w:val="ru-RU"/>
        </w:rPr>
      </w:pPr>
      <w:r w:rsidRPr="003C1184">
        <w:rPr>
          <w:sz w:val="24"/>
          <w:szCs w:val="24"/>
        </w:rPr>
        <w:t>Регистрационный номер</w:t>
      </w:r>
      <w:r w:rsidR="00EF5F0B">
        <w:rPr>
          <w:sz w:val="24"/>
          <w:szCs w:val="24"/>
          <w:lang w:val="ru-RU"/>
        </w:rPr>
        <w:t xml:space="preserve">: </w:t>
      </w:r>
      <w:bookmarkStart w:id="0" w:name="_GoBack"/>
      <w:r w:rsidR="00EF5F0B" w:rsidRPr="00EF5F0B">
        <w:rPr>
          <w:b w:val="0"/>
          <w:sz w:val="24"/>
          <w:szCs w:val="24"/>
          <w:lang w:val="ru-RU"/>
        </w:rPr>
        <w:t>ЛП-002856</w:t>
      </w:r>
      <w:bookmarkEnd w:id="0"/>
    </w:p>
    <w:p w14:paraId="7EA145AE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Торговое наименование</w:t>
      </w:r>
    </w:p>
    <w:p w14:paraId="0BFB2A69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Тр</w:t>
      </w:r>
      <w:r w:rsidR="00C30162">
        <w:rPr>
          <w:sz w:val="24"/>
          <w:szCs w:val="24"/>
        </w:rPr>
        <w:t>и</w:t>
      </w:r>
      <w:r w:rsidRPr="003C1184">
        <w:rPr>
          <w:sz w:val="24"/>
          <w:szCs w:val="24"/>
        </w:rPr>
        <w:t>алгин</w:t>
      </w:r>
      <w:r w:rsidR="00896258" w:rsidRPr="00896258">
        <w:rPr>
          <w:sz w:val="24"/>
          <w:szCs w:val="24"/>
          <w:vertAlign w:val="superscript"/>
        </w:rPr>
        <w:t>®</w:t>
      </w:r>
    </w:p>
    <w:p w14:paraId="3338AFBA" w14:textId="77777777" w:rsidR="00D21857" w:rsidRDefault="00D21857" w:rsidP="003C1184">
      <w:pPr>
        <w:autoSpaceDE w:val="0"/>
        <w:autoSpaceDN w:val="0"/>
        <w:adjustRightInd w:val="0"/>
        <w:spacing w:after="0" w:line="360" w:lineRule="auto"/>
        <w:rPr>
          <w:rFonts w:eastAsia="Times New Roman"/>
          <w:b/>
          <w:bCs/>
          <w:sz w:val="24"/>
          <w:szCs w:val="24"/>
          <w:lang w:eastAsia="x-none"/>
        </w:rPr>
      </w:pPr>
      <w:r w:rsidRPr="00D21857">
        <w:rPr>
          <w:rFonts w:eastAsia="Times New Roman"/>
          <w:b/>
          <w:bCs/>
          <w:sz w:val="24"/>
          <w:szCs w:val="24"/>
          <w:lang w:eastAsia="x-none"/>
        </w:rPr>
        <w:t>Международное непатентованное или группировочное наименование</w:t>
      </w:r>
    </w:p>
    <w:p w14:paraId="5B005D39" w14:textId="69245E0B" w:rsidR="00C13B64" w:rsidRPr="003C1184" w:rsidRDefault="00C13B64" w:rsidP="003C1184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Кофеин + метамизол натрия + фенобарбитал</w:t>
      </w:r>
    </w:p>
    <w:p w14:paraId="38053BC9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Лекарственная форма</w:t>
      </w:r>
    </w:p>
    <w:p w14:paraId="3BD34CF6" w14:textId="77777777" w:rsidR="00C13B64" w:rsidRPr="003C1184" w:rsidRDefault="00C13B64" w:rsidP="003C1184">
      <w:pPr>
        <w:spacing w:after="0" w:line="360" w:lineRule="auto"/>
        <w:rPr>
          <w:b/>
          <w:bCs/>
          <w:sz w:val="24"/>
          <w:szCs w:val="24"/>
        </w:rPr>
      </w:pPr>
      <w:r w:rsidRPr="003C1184">
        <w:rPr>
          <w:sz w:val="24"/>
          <w:szCs w:val="24"/>
        </w:rPr>
        <w:t>Таблетки</w:t>
      </w:r>
    </w:p>
    <w:p w14:paraId="5501B361" w14:textId="77777777" w:rsidR="00D21857" w:rsidRPr="00D21857" w:rsidRDefault="00D21857" w:rsidP="00D21857">
      <w:pPr>
        <w:pStyle w:val="1"/>
        <w:keepNext w:val="0"/>
        <w:spacing w:before="0" w:after="0" w:line="360" w:lineRule="auto"/>
        <w:rPr>
          <w:sz w:val="24"/>
          <w:szCs w:val="24"/>
        </w:rPr>
      </w:pPr>
      <w:r w:rsidRPr="00D21857">
        <w:rPr>
          <w:sz w:val="24"/>
          <w:szCs w:val="24"/>
        </w:rPr>
        <w:t>Состав</w:t>
      </w:r>
    </w:p>
    <w:p w14:paraId="3D4B6AD4" w14:textId="77777777" w:rsidR="00D21857" w:rsidRPr="00D21857" w:rsidRDefault="00D21857" w:rsidP="00D21857">
      <w:pPr>
        <w:spacing w:line="360" w:lineRule="auto"/>
        <w:rPr>
          <w:sz w:val="24"/>
          <w:szCs w:val="24"/>
        </w:rPr>
      </w:pPr>
      <w:r w:rsidRPr="00D21857">
        <w:rPr>
          <w:sz w:val="24"/>
          <w:szCs w:val="24"/>
        </w:rPr>
        <w:t>(на таблетку)</w:t>
      </w:r>
    </w:p>
    <w:p w14:paraId="114E11A6" w14:textId="77777777" w:rsidR="00D21857" w:rsidRPr="00D21857" w:rsidRDefault="00D21857" w:rsidP="00D21857">
      <w:pPr>
        <w:spacing w:line="360" w:lineRule="auto"/>
        <w:rPr>
          <w:sz w:val="24"/>
          <w:szCs w:val="24"/>
        </w:rPr>
      </w:pPr>
      <w:r w:rsidRPr="00D21857">
        <w:rPr>
          <w:i/>
          <w:sz w:val="24"/>
          <w:szCs w:val="24"/>
        </w:rPr>
        <w:t>действующие вещества</w:t>
      </w:r>
      <w:r w:rsidRPr="00D21857">
        <w:rPr>
          <w:sz w:val="24"/>
          <w:szCs w:val="24"/>
        </w:rPr>
        <w:t>: кофеин безводный – 50 мг, метамизола натрия моногидрат – 300 мг, фенобарбитал – 10 мг;</w:t>
      </w:r>
    </w:p>
    <w:p w14:paraId="505519C2" w14:textId="72FD1004" w:rsidR="00D21857" w:rsidRPr="00D21857" w:rsidRDefault="00D21857" w:rsidP="00D21857">
      <w:pPr>
        <w:pStyle w:val="1"/>
        <w:spacing w:before="0" w:after="0" w:line="360" w:lineRule="auto"/>
        <w:rPr>
          <w:b w:val="0"/>
          <w:bCs w:val="0"/>
          <w:sz w:val="24"/>
          <w:szCs w:val="24"/>
        </w:rPr>
      </w:pPr>
      <w:r w:rsidRPr="00D21857">
        <w:rPr>
          <w:b w:val="0"/>
          <w:bCs w:val="0"/>
          <w:i/>
          <w:sz w:val="24"/>
          <w:szCs w:val="24"/>
        </w:rPr>
        <w:t>вспомогательные вещества</w:t>
      </w:r>
      <w:r w:rsidRPr="00D21857">
        <w:rPr>
          <w:b w:val="0"/>
          <w:bCs w:val="0"/>
          <w:sz w:val="24"/>
          <w:szCs w:val="24"/>
        </w:rPr>
        <w:t>: крахмал картофельный – 36,31 мг, магния стеарат – 3,69 мг.</w:t>
      </w:r>
    </w:p>
    <w:p w14:paraId="6C78D843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Описание</w:t>
      </w:r>
    </w:p>
    <w:p w14:paraId="730D7547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Таблетки круглой плоскоцилиндрической формы, от белого до белого с желтоватым или кремоватым оттенком цвета, с риской и фаской.</w:t>
      </w:r>
    </w:p>
    <w:p w14:paraId="66591735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Фармакотерапевтическая группа</w:t>
      </w:r>
    </w:p>
    <w:p w14:paraId="02DC342F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Анальгезирующее средство комбинированное </w:t>
      </w:r>
    </w:p>
    <w:p w14:paraId="54CAA014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(психостимулирующее средство+НПВП+барбитурат)</w:t>
      </w:r>
    </w:p>
    <w:p w14:paraId="7C6BF129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Код АТХ</w:t>
      </w:r>
    </w:p>
    <w:p w14:paraId="540FB73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N02ВВ72</w:t>
      </w:r>
    </w:p>
    <w:p w14:paraId="79F3B208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Фармакологические свойства</w:t>
      </w:r>
    </w:p>
    <w:p w14:paraId="1501D7F1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Фармакодинамика</w:t>
      </w:r>
    </w:p>
    <w:p w14:paraId="02C5F5EC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Комбинированный препарат.</w:t>
      </w:r>
      <w:r w:rsidRPr="003C1184">
        <w:rPr>
          <w:rStyle w:val="s7"/>
          <w:sz w:val="24"/>
          <w:szCs w:val="24"/>
        </w:rPr>
        <w:t xml:space="preserve"> </w:t>
      </w:r>
      <w:r w:rsidRPr="003C1184">
        <w:rPr>
          <w:sz w:val="24"/>
          <w:szCs w:val="24"/>
        </w:rPr>
        <w:t>Оказывает анальгетическое и жаропонижающее действие. Анальгетический эффект развивается через 20-30 минут и достигает максимума через 45 минут. Фармакологические свойства препарата обусловлены действием компонентов, входящих в его состав.</w:t>
      </w:r>
    </w:p>
    <w:p w14:paraId="7F780924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i/>
          <w:sz w:val="24"/>
          <w:szCs w:val="24"/>
        </w:rPr>
        <w:t>Метамизол натрия</w:t>
      </w:r>
      <w:r w:rsidRPr="003C1184">
        <w:rPr>
          <w:sz w:val="24"/>
          <w:szCs w:val="24"/>
        </w:rPr>
        <w:t xml:space="preserve"> является производным пиразолона, обладающим анальгезирующим, жаропонижающим и спазмолитическим действием. Механизм действия до конца не </w:t>
      </w:r>
      <w:r w:rsidRPr="003C1184">
        <w:rPr>
          <w:sz w:val="24"/>
          <w:szCs w:val="24"/>
        </w:rPr>
        <w:lastRenderedPageBreak/>
        <w:t>изучен. Согласно результатам исследований метамизол и его активный метаболит (4</w:t>
      </w:r>
      <w:r w:rsidRPr="003C1184">
        <w:rPr>
          <w:sz w:val="24"/>
          <w:szCs w:val="24"/>
          <w:lang w:val="en-US"/>
        </w:rPr>
        <w:t>N</w:t>
      </w:r>
      <w:r w:rsidRPr="003C1184">
        <w:rPr>
          <w:sz w:val="24"/>
          <w:szCs w:val="24"/>
        </w:rPr>
        <w:t xml:space="preserve">-метиламиноантипирин) обладают центральным и периферическим механизмом действия. Неселективно ингибирует циклооксигеназу и снижает образование </w:t>
      </w:r>
      <w:r w:rsidRPr="003C1184">
        <w:rPr>
          <w:bCs/>
          <w:sz w:val="24"/>
          <w:szCs w:val="24"/>
        </w:rPr>
        <w:t>простагландинов</w:t>
      </w:r>
      <w:r w:rsidRPr="003C1184">
        <w:rPr>
          <w:sz w:val="24"/>
          <w:szCs w:val="24"/>
        </w:rPr>
        <w:t xml:space="preserve"> из арахидоновой кислоты.</w:t>
      </w:r>
    </w:p>
    <w:p w14:paraId="3B03A2F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i/>
          <w:sz w:val="24"/>
          <w:szCs w:val="24"/>
        </w:rPr>
        <w:t>Фенобарбитал</w:t>
      </w:r>
      <w:r w:rsidRPr="003C1184">
        <w:rPr>
          <w:sz w:val="24"/>
          <w:szCs w:val="24"/>
        </w:rPr>
        <w:t xml:space="preserve"> относится к группе барбитуратов. Взаимодействует с барбитуратным участком бензодиазепин–</w:t>
      </w:r>
      <w:r w:rsidRPr="003C1184">
        <w:rPr>
          <w:sz w:val="24"/>
          <w:szCs w:val="24"/>
        </w:rPr>
        <w:sym w:font="Symbol" w:char="F067"/>
      </w:r>
      <w:r w:rsidRPr="003C1184">
        <w:rPr>
          <w:sz w:val="24"/>
          <w:szCs w:val="24"/>
        </w:rPr>
        <w:t>-аминомасляная кислота (ГАМК)–рецепторного комплекса, за счет чего повышает чувствительность ГАМК-рецепторов к ГАМК, приводит к раскрытию хлорных каналов, что увеличивает их поступление в клетку и ведет к гиперполяризации. Подавляет сенсорные зоны коры головного мозга, уменьшает моторную активность, угнетает церебральные функции, в том числе дыхательный центр. Не оказывает существенного влияния на сердечно-сосудистую систему. Снижает тонус гладкой мускулатуры желудочно-кишечного тракта. В малых дозах проявляет седативное действие.</w:t>
      </w:r>
    </w:p>
    <w:p w14:paraId="158EC182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i/>
          <w:sz w:val="24"/>
          <w:szCs w:val="24"/>
        </w:rPr>
        <w:t>Кофеин</w:t>
      </w:r>
      <w:r w:rsidRPr="003C1184">
        <w:rPr>
          <w:sz w:val="24"/>
          <w:szCs w:val="24"/>
        </w:rPr>
        <w:t xml:space="preserve"> повышает рефлекторную возбудимость спинного мозга, возбуждает дыхательный и сосудодвигательный центры, расширяет кровеносные сосуды скелетных мышц, головного мозга, сердца, почек, снижает агрегацию тромбоцитов; уменьшает сонливость, чувство усталости, повышает умственную и физическую работоспособность. В данной комбинации кофеин в малой дозе практически не оказывает стимулирующего действия на центральную нервную систему, однако повышает тонус сосудов головного мозга и способствует ускорению кровотока.</w:t>
      </w:r>
    </w:p>
    <w:p w14:paraId="20A2566B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Фармакокинетика</w:t>
      </w:r>
    </w:p>
    <w:p w14:paraId="0EDA1792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Метамизол натрия</w:t>
      </w:r>
    </w:p>
    <w:p w14:paraId="5FC7079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После приема внутрь метамизол натрия гидролизуется до фармакологически активного 4</w:t>
      </w:r>
      <w:r w:rsidRPr="003C1184">
        <w:rPr>
          <w:sz w:val="24"/>
          <w:szCs w:val="24"/>
          <w:lang w:val="en-US"/>
        </w:rPr>
        <w:t>N</w:t>
      </w:r>
      <w:r w:rsidRPr="003C1184">
        <w:rPr>
          <w:sz w:val="24"/>
          <w:szCs w:val="24"/>
        </w:rPr>
        <w:t>-метиламиноантипирина (МАА). Биодоступность МАА после приема внутрь составляет 90 %, что несколько выше, чем при парентеральном введении. Одновременный прием пищи не оказывает значимого влияния на фармакокинетику метамизола натрия.</w:t>
      </w:r>
    </w:p>
    <w:p w14:paraId="717A231C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Клиническая эффективность определяется преимущественно МАА, а также в меньшей степени метаболитами 4</w:t>
      </w:r>
      <w:r w:rsidRPr="003C1184">
        <w:rPr>
          <w:sz w:val="24"/>
          <w:szCs w:val="24"/>
          <w:lang w:val="en-US"/>
        </w:rPr>
        <w:t>N</w:t>
      </w:r>
      <w:r w:rsidRPr="003C1184">
        <w:rPr>
          <w:sz w:val="24"/>
          <w:szCs w:val="24"/>
        </w:rPr>
        <w:t>-аминоантипирина (АА). Величина площади под кривой «концентрация–время» (</w:t>
      </w:r>
      <w:r w:rsidRPr="003C1184">
        <w:rPr>
          <w:sz w:val="24"/>
          <w:szCs w:val="24"/>
          <w:lang w:val="en-US"/>
        </w:rPr>
        <w:t>AUC</w:t>
      </w:r>
      <w:r w:rsidRPr="003C1184">
        <w:rPr>
          <w:sz w:val="24"/>
          <w:szCs w:val="24"/>
        </w:rPr>
        <w:t>) АА составля</w:t>
      </w:r>
      <w:r w:rsidR="00A02404">
        <w:rPr>
          <w:sz w:val="24"/>
          <w:szCs w:val="24"/>
        </w:rPr>
        <w:t>е</w:t>
      </w:r>
      <w:r w:rsidRPr="003C1184">
        <w:rPr>
          <w:sz w:val="24"/>
          <w:szCs w:val="24"/>
        </w:rPr>
        <w:t>т 25</w:t>
      </w:r>
      <w:r w:rsidR="00E55D69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>% от этой величины для МАА. Метаболиты 4</w:t>
      </w:r>
      <w:r w:rsidRPr="003C1184">
        <w:rPr>
          <w:sz w:val="24"/>
          <w:szCs w:val="24"/>
          <w:lang w:val="en-US"/>
        </w:rPr>
        <w:t>N</w:t>
      </w:r>
      <w:r w:rsidRPr="003C1184">
        <w:rPr>
          <w:sz w:val="24"/>
          <w:szCs w:val="24"/>
        </w:rPr>
        <w:t>-ацетиламиноантипирин (ААА) и 4</w:t>
      </w:r>
      <w:r w:rsidRPr="003C1184">
        <w:rPr>
          <w:sz w:val="24"/>
          <w:szCs w:val="24"/>
          <w:lang w:val="en-US"/>
        </w:rPr>
        <w:t>N</w:t>
      </w:r>
      <w:r w:rsidRPr="003C1184">
        <w:rPr>
          <w:sz w:val="24"/>
          <w:szCs w:val="24"/>
        </w:rPr>
        <w:t>-формиламиноантипирин (ФАА) не обладают фармакологической активностью.</w:t>
      </w:r>
    </w:p>
    <w:p w14:paraId="75A1D66A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Всем метаболитам присуща нелинейная фармакокинетика. Клиническая значимость этого явления не известна. При краткосрочном применении кумуляция метаболитов не играет большой роли.</w:t>
      </w:r>
    </w:p>
    <w:p w14:paraId="5CAB9A6A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lastRenderedPageBreak/>
        <w:t>Метамизол натрия проникает через плаценту. Метаболиты метамизола проникают в грудное молоко.</w:t>
      </w:r>
    </w:p>
    <w:p w14:paraId="3E4FC2BA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Связь с белками плазмы МАА составляет 58 %, АА — 48 %, ФАА — 18 % и ААА — 14 %.</w:t>
      </w:r>
    </w:p>
    <w:p w14:paraId="14EE3AD5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После однократного приема внутрь 85 % дозы обнаруживается в моче в виде метаболитов, из них 3±1 % — МАА, 6±3 % — АА, 26±8 % — ААА и 23±4 % — ФАА. Почечный клиренс после однократного приема </w:t>
      </w:r>
      <w:smartTag w:uri="urn:schemas-microsoft-com:office:smarttags" w:element="metricconverter">
        <w:smartTagPr>
          <w:attr w:name="ProductID" w:val="1 г"/>
        </w:smartTagPr>
        <w:r w:rsidRPr="003C1184">
          <w:rPr>
            <w:sz w:val="24"/>
            <w:szCs w:val="24"/>
          </w:rPr>
          <w:t>1 г</w:t>
        </w:r>
      </w:smartTag>
      <w:r w:rsidRPr="003C1184">
        <w:rPr>
          <w:sz w:val="24"/>
          <w:szCs w:val="24"/>
        </w:rPr>
        <w:t xml:space="preserve"> метамизола натрия внутрь для МАА равен 5±2 мл/мин, АА — 38±13 мл/мин, ААА — 61±8 мл/мин и ФАА — 49±5 мл/мин. Соответствующие периоды полувыведения из плазмы для МАА — 2,7±0,5 ч, АА — 3,7±1,3 ч, ААА — 9,5±1,5 ч и ФАА — 11,2±1,5</w:t>
      </w:r>
      <w:r w:rsidR="00E55D69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>ч.</w:t>
      </w:r>
    </w:p>
    <w:p w14:paraId="1253A804" w14:textId="77777777" w:rsidR="00C13B64" w:rsidRPr="003C1184" w:rsidRDefault="00C13B64" w:rsidP="003C1184">
      <w:pPr>
        <w:pStyle w:val="3"/>
        <w:spacing w:before="0" w:line="360" w:lineRule="auto"/>
        <w:rPr>
          <w:sz w:val="24"/>
        </w:rPr>
      </w:pPr>
      <w:r w:rsidRPr="003C1184">
        <w:rPr>
          <w:sz w:val="24"/>
        </w:rPr>
        <w:t>Пожилые</w:t>
      </w:r>
    </w:p>
    <w:p w14:paraId="2E61627E" w14:textId="77777777" w:rsidR="00C13B64" w:rsidRPr="003C1184" w:rsidRDefault="00C13B64" w:rsidP="003C1184">
      <w:pPr>
        <w:spacing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 xml:space="preserve">У пожилых пациентов </w:t>
      </w:r>
      <w:r w:rsidRPr="003C1184">
        <w:rPr>
          <w:sz w:val="24"/>
          <w:szCs w:val="24"/>
          <w:lang w:val="en-US" w:eastAsia="ru-RU"/>
        </w:rPr>
        <w:t>AUC</w:t>
      </w:r>
      <w:r w:rsidRPr="003C1184">
        <w:rPr>
          <w:sz w:val="24"/>
          <w:szCs w:val="24"/>
          <w:lang w:eastAsia="ru-RU"/>
        </w:rPr>
        <w:t xml:space="preserve"> повышается в 2–3 раза. У пациентов с циррозом печени периоды полувыведения МАА и ФАА при однократном приеме препарата увеличиваются примерно в 3 раза, тогда как периоды полувыведения АА и ААА не следуют той же закономерности. У таких пациентов следует избегать применения высоких доз.</w:t>
      </w:r>
    </w:p>
    <w:p w14:paraId="690C48B9" w14:textId="77777777" w:rsidR="00C13B64" w:rsidRPr="003C1184" w:rsidRDefault="00C13B64" w:rsidP="003C1184">
      <w:pPr>
        <w:pStyle w:val="3"/>
        <w:spacing w:before="0" w:line="360" w:lineRule="auto"/>
        <w:rPr>
          <w:sz w:val="24"/>
        </w:rPr>
      </w:pPr>
      <w:r w:rsidRPr="003C1184">
        <w:rPr>
          <w:sz w:val="24"/>
        </w:rPr>
        <w:t>Нарушение функции почек</w:t>
      </w:r>
    </w:p>
    <w:p w14:paraId="174ECFF4" w14:textId="77777777" w:rsidR="00C13B64" w:rsidRPr="003C1184" w:rsidRDefault="00C13B64" w:rsidP="003C1184">
      <w:pPr>
        <w:spacing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Согласно имеющимся данным при почечной недостаточности скорость выведения некоторых метаболитов (ААА и ФАА) снижается. У таких пациентов следует избегать применения высоких доз.</w:t>
      </w:r>
    </w:p>
    <w:p w14:paraId="458C88F3" w14:textId="77777777" w:rsidR="00C13B64" w:rsidRPr="003C1184" w:rsidRDefault="00C13B64" w:rsidP="003C1184">
      <w:pPr>
        <w:pStyle w:val="3"/>
        <w:spacing w:before="0" w:line="360" w:lineRule="auto"/>
        <w:rPr>
          <w:sz w:val="24"/>
        </w:rPr>
      </w:pPr>
      <w:r w:rsidRPr="003C1184">
        <w:rPr>
          <w:sz w:val="24"/>
        </w:rPr>
        <w:t>Биодоступность</w:t>
      </w:r>
    </w:p>
    <w:p w14:paraId="3B6EACCB" w14:textId="77777777" w:rsidR="00C13B64" w:rsidRPr="003C1184" w:rsidRDefault="00C13B64" w:rsidP="003C1184">
      <w:pPr>
        <w:spacing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 xml:space="preserve">Согласно проведенному клиническому исследованию фармакокинетические показатели 4-МАА при приеме внутрь </w:t>
      </w:r>
      <w:smartTag w:uri="urn:schemas-microsoft-com:office:smarttags" w:element="metricconverter">
        <w:smartTagPr>
          <w:attr w:name="ProductID" w:val="1 г"/>
        </w:smartTagPr>
        <w:r w:rsidRPr="003C1184">
          <w:rPr>
            <w:sz w:val="24"/>
            <w:szCs w:val="24"/>
            <w:lang w:eastAsia="ru-RU"/>
          </w:rPr>
          <w:t>1 г</w:t>
        </w:r>
      </w:smartTag>
      <w:r w:rsidRPr="003C1184">
        <w:rPr>
          <w:sz w:val="24"/>
          <w:szCs w:val="24"/>
          <w:lang w:eastAsia="ru-RU"/>
        </w:rPr>
        <w:t xml:space="preserve"> метамизола натрия (таблетки) имеют следующие значения (приведены средние значения и стандартные отклонения):</w:t>
      </w:r>
      <w:r w:rsidRPr="003C1184">
        <w:rPr>
          <w:sz w:val="24"/>
          <w:szCs w:val="24"/>
        </w:rPr>
        <w:t xml:space="preserve"> максимальная плазменная концентрация (</w:t>
      </w:r>
      <w:r w:rsidRPr="003C1184">
        <w:rPr>
          <w:sz w:val="24"/>
          <w:szCs w:val="24"/>
          <w:lang w:val="en-IE"/>
        </w:rPr>
        <w:t>C</w:t>
      </w:r>
      <w:r w:rsidRPr="003C1184">
        <w:rPr>
          <w:sz w:val="24"/>
          <w:szCs w:val="24"/>
          <w:vertAlign w:val="subscript"/>
          <w:lang w:val="en-IE"/>
        </w:rPr>
        <w:t>max</w:t>
      </w:r>
      <w:r w:rsidRPr="003C1184">
        <w:rPr>
          <w:sz w:val="24"/>
          <w:szCs w:val="24"/>
        </w:rPr>
        <w:t>) составляет 17,3</w:t>
      </w:r>
      <w:r w:rsidRPr="003C1184">
        <w:rPr>
          <w:sz w:val="24"/>
          <w:szCs w:val="24"/>
        </w:rPr>
        <w:sym w:font="Symbol" w:char="F0B1"/>
      </w:r>
      <w:r w:rsidRPr="003C1184">
        <w:rPr>
          <w:sz w:val="24"/>
          <w:szCs w:val="24"/>
        </w:rPr>
        <w:t>7,54 мг/л; время достижения максимальной плазменной концентрации (</w:t>
      </w:r>
      <w:r w:rsidRPr="003C1184">
        <w:rPr>
          <w:sz w:val="24"/>
          <w:szCs w:val="24"/>
          <w:lang w:val="en-IE"/>
        </w:rPr>
        <w:t>t</w:t>
      </w:r>
      <w:r w:rsidRPr="003C1184">
        <w:rPr>
          <w:sz w:val="24"/>
          <w:szCs w:val="24"/>
          <w:vertAlign w:val="subscript"/>
          <w:lang w:val="en-IE"/>
        </w:rPr>
        <w:t>max</w:t>
      </w:r>
      <w:r w:rsidRPr="003C1184">
        <w:rPr>
          <w:sz w:val="24"/>
          <w:szCs w:val="24"/>
        </w:rPr>
        <w:t>) - 1,42</w:t>
      </w:r>
      <w:r w:rsidRPr="003C1184">
        <w:rPr>
          <w:sz w:val="24"/>
          <w:szCs w:val="24"/>
        </w:rPr>
        <w:sym w:font="Symbol" w:char="F0B1"/>
      </w:r>
      <w:r w:rsidRPr="003C1184">
        <w:rPr>
          <w:sz w:val="24"/>
          <w:szCs w:val="24"/>
        </w:rPr>
        <w:t>0,54 ч; площадь под кривой «концентрация–время» (AUC) - 80,9</w:t>
      </w:r>
      <w:r w:rsidRPr="003C1184">
        <w:rPr>
          <w:sz w:val="24"/>
          <w:szCs w:val="24"/>
        </w:rPr>
        <w:sym w:font="Symbol" w:char="F0B1"/>
      </w:r>
      <w:r w:rsidRPr="003C1184">
        <w:rPr>
          <w:sz w:val="24"/>
          <w:szCs w:val="24"/>
        </w:rPr>
        <w:t>34,1 [мг×ч/л].</w:t>
      </w:r>
      <w:r w:rsidRPr="003C1184">
        <w:rPr>
          <w:sz w:val="24"/>
          <w:szCs w:val="24"/>
          <w:lang w:eastAsia="ru-RU"/>
        </w:rPr>
        <w:t xml:space="preserve"> Абсолютная биодоступность 4-МАА по </w:t>
      </w:r>
      <w:r w:rsidRPr="003C1184">
        <w:rPr>
          <w:sz w:val="24"/>
          <w:szCs w:val="24"/>
          <w:lang w:val="en-US" w:eastAsia="ru-RU"/>
        </w:rPr>
        <w:t>AUC</w:t>
      </w:r>
      <w:r w:rsidRPr="003C1184">
        <w:rPr>
          <w:sz w:val="24"/>
          <w:szCs w:val="24"/>
          <w:lang w:eastAsia="ru-RU"/>
        </w:rPr>
        <w:t xml:space="preserve"> при приеме таблеток составляет 93 %.</w:t>
      </w:r>
    </w:p>
    <w:p w14:paraId="1FE7AB69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Фенобарбитал</w:t>
      </w:r>
    </w:p>
    <w:p w14:paraId="15A78F73" w14:textId="77777777" w:rsidR="00C13B64" w:rsidRPr="003C1184" w:rsidRDefault="00C13B64" w:rsidP="003C1184">
      <w:pPr>
        <w:spacing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При приеме внутрь полностью, но относительно медленно всасывается. Максимальная плазменная концентрация наблюдается через 1–2 ч после приема.</w:t>
      </w:r>
    </w:p>
    <w:p w14:paraId="5836DA03" w14:textId="77777777" w:rsidR="00C13B64" w:rsidRPr="003C1184" w:rsidRDefault="00C13B64" w:rsidP="00E0325B">
      <w:pPr>
        <w:spacing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Около 50 % связывается с белками плазмы. Равномерно распределяется в разных органах и тканях; меньшие его концентрации обнаруживаются в тканях головного мозга. Хорошо проникает в грудное молоко и через плацентарный барьер.</w:t>
      </w:r>
    </w:p>
    <w:p w14:paraId="4B567783" w14:textId="77777777" w:rsidR="00C13B64" w:rsidRPr="003C1184" w:rsidRDefault="00C13B64" w:rsidP="00E0325B">
      <w:pPr>
        <w:spacing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 xml:space="preserve">Метаболизируется в печени, индуцирует микросомальные ферменты печени: CYP3A4, CYP3A5, CYP3A7 (скорость ферментативных реакций возрастает в 10–12 раз), повышает </w:t>
      </w:r>
      <w:r w:rsidRPr="003C1184">
        <w:rPr>
          <w:sz w:val="24"/>
          <w:szCs w:val="24"/>
          <w:lang w:eastAsia="ru-RU"/>
        </w:rPr>
        <w:lastRenderedPageBreak/>
        <w:t>дезинтоксикационную функцию печени. Кумулирует в организме. Период полувыведения составляет 2–4 суток.</w:t>
      </w:r>
    </w:p>
    <w:p w14:paraId="4F33AEEF" w14:textId="77777777" w:rsidR="00C13B64" w:rsidRPr="003C1184" w:rsidRDefault="00C13B64" w:rsidP="00E0325B">
      <w:pPr>
        <w:spacing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Выводится почками в виде глюкуронида, 25</w:t>
      </w:r>
      <w:r w:rsidR="005C2BF3">
        <w:rPr>
          <w:sz w:val="24"/>
          <w:szCs w:val="24"/>
          <w:lang w:eastAsia="ru-RU"/>
        </w:rPr>
        <w:t xml:space="preserve"> </w:t>
      </w:r>
      <w:r w:rsidRPr="003C1184">
        <w:rPr>
          <w:sz w:val="24"/>
          <w:szCs w:val="24"/>
          <w:lang w:eastAsia="ru-RU"/>
        </w:rPr>
        <w:t>% — в неизмененном виде.</w:t>
      </w:r>
    </w:p>
    <w:p w14:paraId="0CCAF892" w14:textId="77777777" w:rsidR="00C13B64" w:rsidRPr="003C1184" w:rsidRDefault="00C13B64" w:rsidP="00E0325B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Кофеин</w:t>
      </w:r>
    </w:p>
    <w:p w14:paraId="61AEA22C" w14:textId="77777777" w:rsidR="00C13B64" w:rsidRPr="003C1184" w:rsidRDefault="00C13B64" w:rsidP="00E0325B">
      <w:pPr>
        <w:spacing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</w:rPr>
        <w:t>При приеме внутрь абсорбция хорошая, происходит на всем протяжении кишечника. Всасывание происходит в основном за счет липофильности, а не водорастворимости. Время достижения максимальной концентрации — 50–75 мин после приема внутрь, максимальная концентрация 1,6–1,8 мг/л. Быстро распределяется во всех органах и тканях организма; легко проникает через гематоэнцефалический барьер и плаценту. Объем распределения у взрослых — 0,4–0,6 л/кг, у новорожденных — 0,78–0,92 л/кг. Связь с белками крови (альбумином) — 25–36</w:t>
      </w:r>
      <w:r w:rsidR="00E55D69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>%. Более 90</w:t>
      </w:r>
      <w:r w:rsidR="00E55D69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>% подвергается метаболизму в печени, у детей первых лет жизни до — 10–15</w:t>
      </w:r>
      <w:r w:rsidR="00E55D69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>%. У взрослых около 80</w:t>
      </w:r>
      <w:r w:rsidR="00E55D69">
        <w:rPr>
          <w:sz w:val="24"/>
          <w:szCs w:val="24"/>
        </w:rPr>
        <w:t xml:space="preserve"> </w:t>
      </w:r>
      <w:r w:rsidRPr="007626B1">
        <w:rPr>
          <w:sz w:val="24"/>
          <w:szCs w:val="24"/>
        </w:rPr>
        <w:t>%</w:t>
      </w:r>
      <w:r w:rsidRPr="003C1184">
        <w:rPr>
          <w:sz w:val="24"/>
          <w:szCs w:val="24"/>
        </w:rPr>
        <w:t xml:space="preserve"> дозы кофеина метаболизируется в параксантин, около 10</w:t>
      </w:r>
      <w:r w:rsidR="00E55D69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>% — в теобромин и около 4</w:t>
      </w:r>
      <w:r w:rsidR="00E55D69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>% — в теофиллин. Эти соединения впоследствии демитилируются в монометилксантины, а затем в метилированные мочевые кислоты. Период полувыведения у взрослых — 3,9–5,3 ч (иногда — до 10 ч). Выведение кофеина и его метаболитов осуществляется почками (в неизмененном виде у взрослых выводится 1–2</w:t>
      </w:r>
      <w:r w:rsidR="00E55D69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>%).</w:t>
      </w:r>
    </w:p>
    <w:p w14:paraId="0390677A" w14:textId="77777777" w:rsidR="00C13B64" w:rsidRPr="003C1184" w:rsidRDefault="00C13B64" w:rsidP="00E0325B">
      <w:pPr>
        <w:pStyle w:val="1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Показания к применению</w:t>
      </w:r>
    </w:p>
    <w:p w14:paraId="55DE5F9A" w14:textId="77777777" w:rsidR="00C13B64" w:rsidRPr="003C1184" w:rsidRDefault="00C13B64" w:rsidP="00E0325B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Болевой синдром различного генеза: головная, зубная боль, боли в мышцах и суставах, невралгия, при болезненных менструациях, при радикулите. В качестве симптоматического средства для снижения повышенной температуры тела и ослабления симптомов «недомогания» (головная боль, ломота) при «простудных» заболеваниях. </w:t>
      </w:r>
    </w:p>
    <w:p w14:paraId="4F067E32" w14:textId="77777777" w:rsidR="00C13B64" w:rsidRPr="003C1184" w:rsidRDefault="00C13B64" w:rsidP="00E0325B">
      <w:pPr>
        <w:pStyle w:val="1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Противопоказания</w:t>
      </w:r>
    </w:p>
    <w:p w14:paraId="4724298B" w14:textId="77777777" w:rsidR="00C13B64" w:rsidRPr="003C1184" w:rsidRDefault="00C13B64" w:rsidP="00D42FEE">
      <w:pPr>
        <w:pStyle w:val="a"/>
        <w:tabs>
          <w:tab w:val="clear" w:pos="360"/>
          <w:tab w:val="num" w:pos="0"/>
        </w:tabs>
        <w:spacing w:after="0" w:line="360" w:lineRule="auto"/>
        <w:ind w:left="0" w:firstLine="0"/>
        <w:rPr>
          <w:sz w:val="24"/>
          <w:szCs w:val="24"/>
        </w:rPr>
      </w:pPr>
      <w:r w:rsidRPr="003C1184">
        <w:rPr>
          <w:sz w:val="24"/>
          <w:szCs w:val="24"/>
        </w:rPr>
        <w:t>Повышенная чувствительность к метамизолу натрия и другим производным пиразолона, а также к пиразолидинам, например, фенилбутазону (включая пациентов, перенесших агранулоцитоз вследствие применения этих препаратов), кофеину, фенобарбиталу или другим компонентам препарата;</w:t>
      </w:r>
    </w:p>
    <w:p w14:paraId="515A8A1E" w14:textId="77777777" w:rsidR="00C13B64" w:rsidRPr="003C1184" w:rsidRDefault="00C13B64" w:rsidP="00D42FEE">
      <w:pPr>
        <w:pStyle w:val="a"/>
        <w:tabs>
          <w:tab w:val="clear" w:pos="360"/>
          <w:tab w:val="num" w:pos="0"/>
        </w:tabs>
        <w:spacing w:after="0" w:line="360" w:lineRule="auto"/>
        <w:ind w:left="0" w:firstLine="0"/>
        <w:rPr>
          <w:sz w:val="24"/>
          <w:szCs w:val="24"/>
        </w:rPr>
      </w:pPr>
      <w:r w:rsidRPr="003C1184">
        <w:rPr>
          <w:sz w:val="24"/>
          <w:szCs w:val="24"/>
        </w:rPr>
        <w:t>Анальгетическая бронхиальная астма или непереносимость анальгетиков (по типу крапивница–ангионевротический отек), т.е. пациенты с бронхоспазмом или другими формами анафилактоидных реакций (например, крапивница, ринит, ангионевротический отек) в ответ на применение салицилатов, парацетамола или нестероидных противовоспалительных препаратов, таких как диклофенак, ибупрофен, индометацин или напроксен;</w:t>
      </w:r>
    </w:p>
    <w:p w14:paraId="19718BD3" w14:textId="77777777" w:rsidR="00C13B64" w:rsidRPr="003C1184" w:rsidRDefault="00C13B64" w:rsidP="00D42FEE">
      <w:pPr>
        <w:pStyle w:val="a"/>
        <w:tabs>
          <w:tab w:val="clear" w:pos="360"/>
          <w:tab w:val="num" w:pos="0"/>
        </w:tabs>
        <w:spacing w:after="0" w:line="360" w:lineRule="auto"/>
        <w:ind w:left="0" w:firstLine="0"/>
        <w:rPr>
          <w:sz w:val="24"/>
          <w:szCs w:val="24"/>
        </w:rPr>
      </w:pPr>
      <w:r w:rsidRPr="003C1184">
        <w:rPr>
          <w:sz w:val="24"/>
          <w:szCs w:val="24"/>
        </w:rPr>
        <w:t>Нарушение костномозгового кроветворения (например, после цитостатической терапии) или заболевания кроветворных органов;</w:t>
      </w:r>
    </w:p>
    <w:p w14:paraId="340DD8D9" w14:textId="77777777" w:rsidR="00C13B64" w:rsidRPr="003C1184" w:rsidRDefault="00C13B64" w:rsidP="00D42FEE">
      <w:pPr>
        <w:pStyle w:val="a"/>
        <w:tabs>
          <w:tab w:val="clear" w:pos="360"/>
          <w:tab w:val="num" w:pos="0"/>
        </w:tabs>
        <w:spacing w:after="0" w:line="360" w:lineRule="auto"/>
        <w:ind w:left="0" w:firstLine="0"/>
        <w:rPr>
          <w:sz w:val="24"/>
          <w:szCs w:val="24"/>
        </w:rPr>
      </w:pPr>
      <w:r w:rsidRPr="003C1184">
        <w:rPr>
          <w:sz w:val="24"/>
          <w:szCs w:val="24"/>
        </w:rPr>
        <w:lastRenderedPageBreak/>
        <w:t>Наследственный дефицит глюкозо-6-фосфатдегидрогеназы (гемолиз);</w:t>
      </w:r>
    </w:p>
    <w:p w14:paraId="1244C358" w14:textId="77777777" w:rsidR="00C13B64" w:rsidRPr="003C1184" w:rsidRDefault="00C13B64" w:rsidP="00D42FEE">
      <w:pPr>
        <w:pStyle w:val="a"/>
        <w:tabs>
          <w:tab w:val="clear" w:pos="360"/>
          <w:tab w:val="num" w:pos="0"/>
        </w:tabs>
        <w:spacing w:after="0" w:line="360" w:lineRule="auto"/>
        <w:ind w:left="0" w:firstLine="0"/>
        <w:rPr>
          <w:sz w:val="24"/>
          <w:szCs w:val="24"/>
        </w:rPr>
      </w:pPr>
      <w:r w:rsidRPr="003C1184">
        <w:rPr>
          <w:sz w:val="24"/>
          <w:szCs w:val="24"/>
        </w:rPr>
        <w:t>Острая интермиттирующая печеночная порфирия (риск развития приступов порфирии);</w:t>
      </w:r>
    </w:p>
    <w:p w14:paraId="7306B785" w14:textId="77777777" w:rsidR="00C13B64" w:rsidRPr="003C1184" w:rsidRDefault="00C13B64" w:rsidP="00D42FEE">
      <w:pPr>
        <w:pStyle w:val="a"/>
        <w:tabs>
          <w:tab w:val="clear" w:pos="360"/>
          <w:tab w:val="num" w:pos="0"/>
        </w:tabs>
        <w:spacing w:after="0" w:line="360" w:lineRule="auto"/>
        <w:ind w:left="0" w:firstLine="0"/>
        <w:rPr>
          <w:sz w:val="24"/>
          <w:szCs w:val="24"/>
        </w:rPr>
      </w:pPr>
      <w:r w:rsidRPr="003C1184">
        <w:rPr>
          <w:sz w:val="24"/>
          <w:szCs w:val="24"/>
        </w:rPr>
        <w:t>Тяжелые заболевания печени и</w:t>
      </w:r>
      <w:r w:rsidR="00765520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>(или) почек;</w:t>
      </w:r>
    </w:p>
    <w:p w14:paraId="63BB5E21" w14:textId="77777777" w:rsidR="00C13B64" w:rsidRPr="003C1184" w:rsidRDefault="00C13B64" w:rsidP="00D42FEE">
      <w:pPr>
        <w:pStyle w:val="a"/>
        <w:tabs>
          <w:tab w:val="clear" w:pos="360"/>
          <w:tab w:val="num" w:pos="0"/>
        </w:tabs>
        <w:spacing w:after="0" w:line="360" w:lineRule="auto"/>
        <w:ind w:left="0" w:firstLine="0"/>
        <w:rPr>
          <w:sz w:val="24"/>
          <w:szCs w:val="24"/>
        </w:rPr>
      </w:pPr>
      <w:r w:rsidRPr="003C1184">
        <w:rPr>
          <w:sz w:val="24"/>
          <w:szCs w:val="24"/>
        </w:rPr>
        <w:t>Респираторные заболевания, сопровождающиеся одышкой или обструкцией дыхательных путей;</w:t>
      </w:r>
    </w:p>
    <w:p w14:paraId="2616F8B9" w14:textId="77777777" w:rsidR="00C13B64" w:rsidRPr="003C1184" w:rsidRDefault="00C13B64" w:rsidP="00D42FEE">
      <w:pPr>
        <w:pStyle w:val="a"/>
        <w:tabs>
          <w:tab w:val="clear" w:pos="360"/>
          <w:tab w:val="num" w:pos="0"/>
        </w:tabs>
        <w:spacing w:after="0" w:line="360" w:lineRule="auto"/>
        <w:ind w:left="0" w:firstLine="0"/>
        <w:rPr>
          <w:sz w:val="24"/>
          <w:szCs w:val="24"/>
        </w:rPr>
      </w:pPr>
      <w:r w:rsidRPr="003C1184">
        <w:rPr>
          <w:sz w:val="24"/>
          <w:szCs w:val="24"/>
        </w:rPr>
        <w:t>Миастения;</w:t>
      </w:r>
    </w:p>
    <w:p w14:paraId="5A5097CA" w14:textId="77777777" w:rsidR="00C13B64" w:rsidRDefault="00C13B64" w:rsidP="00D42FEE">
      <w:pPr>
        <w:pStyle w:val="a"/>
        <w:tabs>
          <w:tab w:val="clear" w:pos="360"/>
          <w:tab w:val="num" w:pos="0"/>
        </w:tabs>
        <w:spacing w:after="0" w:line="360" w:lineRule="auto"/>
        <w:ind w:left="0" w:firstLine="0"/>
        <w:rPr>
          <w:sz w:val="24"/>
          <w:szCs w:val="24"/>
        </w:rPr>
      </w:pPr>
      <w:r w:rsidRPr="003C1184">
        <w:rPr>
          <w:sz w:val="24"/>
          <w:szCs w:val="24"/>
        </w:rPr>
        <w:t>Алкогольное оп</w:t>
      </w:r>
      <w:r w:rsidR="00A26266">
        <w:rPr>
          <w:sz w:val="24"/>
          <w:szCs w:val="24"/>
        </w:rPr>
        <w:t>ь</w:t>
      </w:r>
      <w:r w:rsidRPr="003C1184">
        <w:rPr>
          <w:sz w:val="24"/>
          <w:szCs w:val="24"/>
        </w:rPr>
        <w:t>янение, лекарственная или наркотическая зависимость, в том числе в анамнезе;</w:t>
      </w:r>
    </w:p>
    <w:p w14:paraId="60DBFE44" w14:textId="77777777" w:rsidR="00457D09" w:rsidRPr="00457D09" w:rsidRDefault="00457D09" w:rsidP="00D42FEE">
      <w:pPr>
        <w:pStyle w:val="a"/>
        <w:tabs>
          <w:tab w:val="clear" w:pos="360"/>
          <w:tab w:val="num" w:pos="0"/>
        </w:tabs>
        <w:spacing w:line="360" w:lineRule="auto"/>
        <w:ind w:left="0" w:firstLine="0"/>
        <w:rPr>
          <w:sz w:val="24"/>
          <w:szCs w:val="24"/>
        </w:rPr>
      </w:pPr>
      <w:r w:rsidRPr="00457D09">
        <w:rPr>
          <w:sz w:val="24"/>
          <w:szCs w:val="24"/>
        </w:rPr>
        <w:t>Беременность и период грудного вскармливания</w:t>
      </w:r>
      <w:r w:rsidR="0018645A">
        <w:rPr>
          <w:sz w:val="24"/>
          <w:szCs w:val="24"/>
        </w:rPr>
        <w:t>;</w:t>
      </w:r>
    </w:p>
    <w:p w14:paraId="72B66764" w14:textId="77777777" w:rsidR="00C13B64" w:rsidRPr="003C1184" w:rsidRDefault="00C13B64" w:rsidP="00D42FEE">
      <w:pPr>
        <w:pStyle w:val="a"/>
        <w:tabs>
          <w:tab w:val="clear" w:pos="360"/>
          <w:tab w:val="num" w:pos="0"/>
        </w:tabs>
        <w:spacing w:after="0" w:line="360" w:lineRule="auto"/>
        <w:ind w:left="0" w:firstLine="0"/>
        <w:rPr>
          <w:sz w:val="24"/>
          <w:szCs w:val="24"/>
        </w:rPr>
      </w:pPr>
      <w:r w:rsidRPr="003C1184">
        <w:rPr>
          <w:sz w:val="24"/>
          <w:szCs w:val="24"/>
        </w:rPr>
        <w:t>Детский возраст до 18 лет.</w:t>
      </w:r>
    </w:p>
    <w:p w14:paraId="5AA96EB9" w14:textId="77777777" w:rsidR="00C13B64" w:rsidRPr="003C1184" w:rsidRDefault="00C13B64" w:rsidP="00E0325B">
      <w:pPr>
        <w:pStyle w:val="2"/>
        <w:spacing w:before="0" w:after="0" w:line="360" w:lineRule="auto"/>
        <w:rPr>
          <w:i w:val="0"/>
          <w:sz w:val="24"/>
          <w:szCs w:val="24"/>
        </w:rPr>
      </w:pPr>
      <w:r w:rsidRPr="003C1184">
        <w:rPr>
          <w:i w:val="0"/>
          <w:sz w:val="24"/>
          <w:szCs w:val="24"/>
        </w:rPr>
        <w:t>С осторожностью</w:t>
      </w:r>
    </w:p>
    <w:p w14:paraId="310991BD" w14:textId="77777777" w:rsidR="00C13B64" w:rsidRDefault="00C13B64" w:rsidP="00E0325B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Нарушение функции печени и/или почек, язвенная болезнь желудка и двенадцатиперстной кишки в стадии ремиссии, глаукома, повышенная возбудимость, пожилой возраст, эпилепсия и склонность к судорожным припадкам. </w:t>
      </w:r>
    </w:p>
    <w:p w14:paraId="5728D407" w14:textId="77777777" w:rsidR="00653F3A" w:rsidRDefault="00653F3A" w:rsidP="00E0325B">
      <w:pPr>
        <w:spacing w:after="0" w:line="360" w:lineRule="auto"/>
        <w:rPr>
          <w:b/>
          <w:sz w:val="24"/>
          <w:szCs w:val="24"/>
        </w:rPr>
      </w:pPr>
      <w:r w:rsidRPr="00653F3A">
        <w:rPr>
          <w:b/>
          <w:sz w:val="24"/>
          <w:szCs w:val="24"/>
        </w:rPr>
        <w:t>Применение при беременности и в период грудного вскармливания</w:t>
      </w:r>
    </w:p>
    <w:p w14:paraId="545AFE9D" w14:textId="77777777" w:rsidR="00A741FA" w:rsidRDefault="00A741FA" w:rsidP="00E0325B">
      <w:pPr>
        <w:pStyle w:val="1"/>
        <w:spacing w:before="0" w:after="0" w:line="360" w:lineRule="auto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Препарат противопоказан к применению при беременности. При необходимости применения препарата в период лактации необходимо решить вопрос о прекращении грудного вскармливания.</w:t>
      </w:r>
    </w:p>
    <w:p w14:paraId="41E6A05B" w14:textId="77777777" w:rsidR="00C13B64" w:rsidRPr="003648C7" w:rsidRDefault="00C13B64" w:rsidP="00E0325B">
      <w:pPr>
        <w:pStyle w:val="1"/>
        <w:spacing w:before="0" w:after="0" w:line="360" w:lineRule="auto"/>
        <w:rPr>
          <w:sz w:val="24"/>
          <w:szCs w:val="24"/>
          <w:lang w:val="ru-RU"/>
        </w:rPr>
      </w:pPr>
      <w:r w:rsidRPr="003C1184">
        <w:rPr>
          <w:sz w:val="24"/>
          <w:szCs w:val="24"/>
        </w:rPr>
        <w:t>Способ применения и дозы</w:t>
      </w:r>
    </w:p>
    <w:p w14:paraId="47A29C4C" w14:textId="77777777" w:rsidR="00C13B64" w:rsidRPr="003C1184" w:rsidRDefault="00C13B64" w:rsidP="00E0325B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Внутрь по 1 таблетке 1–4 раза в сутки. Таблетки следует проглатывать целиком, запивая д</w:t>
      </w:r>
      <w:r w:rsidR="00DC7903">
        <w:rPr>
          <w:sz w:val="24"/>
          <w:szCs w:val="24"/>
        </w:rPr>
        <w:t>остаточным количеством жидкости</w:t>
      </w:r>
      <w:r w:rsidRPr="003C1184">
        <w:rPr>
          <w:sz w:val="24"/>
          <w:szCs w:val="24"/>
        </w:rPr>
        <w:t>.</w:t>
      </w:r>
    </w:p>
    <w:p w14:paraId="4452F643" w14:textId="77777777" w:rsidR="00C13B64" w:rsidRPr="003C1184" w:rsidRDefault="00C13B64" w:rsidP="00E0325B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Максимальная суточная доза — 4 таблетки. Продолжительность приема не более 5 дней. </w:t>
      </w:r>
    </w:p>
    <w:p w14:paraId="3DBE3C56" w14:textId="77777777" w:rsidR="00C13B64" w:rsidRPr="003C1184" w:rsidRDefault="00C13B64" w:rsidP="00E0325B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Пожилым пациентам, пациентам с тяжелым общим состоянием и нарушением клиренса креатинина необходимо снизить дозу, поскольку у них может быть снижено выведение метаболитов метамизола натрия и фенобарбитала.</w:t>
      </w:r>
    </w:p>
    <w:p w14:paraId="461D7A78" w14:textId="77777777" w:rsidR="00C13B64" w:rsidRPr="003C1184" w:rsidRDefault="00C13B64" w:rsidP="00E0325B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Поскольку у пациентов с нарушением функции почек или печени скорость выведения препарата снижается, следует избегать многократного приема высоких доз. При краткосрочном применении снижения дозы не требуется. Опыт длительного применения отсутствует.</w:t>
      </w:r>
    </w:p>
    <w:p w14:paraId="73F03584" w14:textId="77777777" w:rsidR="00C13B64" w:rsidRPr="003C1184" w:rsidRDefault="00C13B64" w:rsidP="00E0325B">
      <w:pPr>
        <w:pStyle w:val="1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Побочное действие</w:t>
      </w:r>
    </w:p>
    <w:p w14:paraId="614206AE" w14:textId="77777777" w:rsidR="00C13B64" w:rsidRPr="003C1184" w:rsidRDefault="00C13B64" w:rsidP="00E0325B">
      <w:pPr>
        <w:spacing w:after="0" w:line="360" w:lineRule="auto"/>
        <w:rPr>
          <w:sz w:val="24"/>
          <w:szCs w:val="24"/>
          <w:u w:val="single"/>
        </w:rPr>
      </w:pPr>
      <w:r w:rsidRPr="003C1184">
        <w:rPr>
          <w:sz w:val="24"/>
          <w:szCs w:val="24"/>
        </w:rPr>
        <w:t xml:space="preserve">До настоящего времени не сообщалось о побочных эффектах при приеме данной комбинации. Частота возникновения нижеперечисленных возможных побочных эффектов неизвестна. </w:t>
      </w:r>
      <w:r w:rsidRPr="003C1184">
        <w:rPr>
          <w:sz w:val="24"/>
          <w:szCs w:val="24"/>
          <w:u w:val="single"/>
        </w:rPr>
        <w:t>При применении препарата в соответствии с инструкцией возникновение нижеперечисленных побочных эффектов маловероятно.</w:t>
      </w:r>
    </w:p>
    <w:p w14:paraId="3D07399F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lastRenderedPageBreak/>
        <w:t>Со стороны иммунной системы</w:t>
      </w:r>
    </w:p>
    <w:p w14:paraId="593A5EA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Ангионевротический отек, анафилактоидные и анафилактические реакции.</w:t>
      </w:r>
    </w:p>
    <w:p w14:paraId="2F4D2679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Со стороны органов кроветворения</w:t>
      </w:r>
    </w:p>
    <w:p w14:paraId="3DC9BD95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Агранулоцитоз, лейкопения, тромбоцитопения, апластическая анемия, панцитопения.</w:t>
      </w:r>
    </w:p>
    <w:p w14:paraId="7F7ADDDC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Со стороны нервной системы </w:t>
      </w:r>
    </w:p>
    <w:p w14:paraId="279E2DDF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Психомоторное возбуждение, тревога, тремор, беспокойство, головокружение, эпилептические припадки, усиление рефлексов, бессонница; парадоксальная реакция у пожилых (необычное возбуждение), повышенная утомляемость, сонливость, снижение скорости психомоторных реакций, лекарственная зависимость.</w:t>
      </w:r>
    </w:p>
    <w:p w14:paraId="7A527BAE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Со стороны сердечно-сосудистой системы </w:t>
      </w:r>
    </w:p>
    <w:p w14:paraId="495FC0D7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Ощущение сердцебиения, тахикардия, повышение артериального давления, снижение артериального давления.</w:t>
      </w:r>
    </w:p>
    <w:p w14:paraId="7975D10B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Со стороны дыхательной системы, органов грудной клетки и средостения</w:t>
      </w:r>
    </w:p>
    <w:p w14:paraId="37E18423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Тахипноэ, бронхоспастический синдром, анальгетическая бронхиальная астма.</w:t>
      </w:r>
    </w:p>
    <w:p w14:paraId="61971758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Со стороны пищеварительной системы</w:t>
      </w:r>
    </w:p>
    <w:p w14:paraId="7C6762A2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Тошнота, рвота, обострение язвенной болезни (кофеин)</w:t>
      </w:r>
      <w:r w:rsidR="00910888">
        <w:rPr>
          <w:sz w:val="24"/>
          <w:szCs w:val="24"/>
        </w:rPr>
        <w:t>,</w:t>
      </w:r>
      <w:r w:rsidRPr="003C1184">
        <w:rPr>
          <w:sz w:val="24"/>
          <w:szCs w:val="24"/>
        </w:rPr>
        <w:t xml:space="preserve"> запор.</w:t>
      </w:r>
    </w:p>
    <w:p w14:paraId="253FCEA0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Со стороны кожи и подкожных тканей</w:t>
      </w:r>
    </w:p>
    <w:p w14:paraId="1BE687A6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Сыпь (в том числе стойкая), зуд, крапивница.</w:t>
      </w:r>
    </w:p>
    <w:p w14:paraId="75EEB5A1" w14:textId="77777777" w:rsidR="00C13B64" w:rsidRPr="003C1184" w:rsidRDefault="00C13B64" w:rsidP="003C1184">
      <w:pPr>
        <w:spacing w:after="0" w:line="360" w:lineRule="auto"/>
        <w:rPr>
          <w:b/>
          <w:i/>
          <w:sz w:val="24"/>
          <w:szCs w:val="24"/>
        </w:rPr>
      </w:pPr>
      <w:r w:rsidRPr="003C1184">
        <w:rPr>
          <w:b/>
          <w:i/>
          <w:sz w:val="24"/>
          <w:szCs w:val="24"/>
        </w:rPr>
        <w:t>При появлении нежелательных реакций, в том числе не указанных в инструкции, следует обратиться к лечащему врачу.</w:t>
      </w:r>
    </w:p>
    <w:p w14:paraId="61BAE8E2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Передозировка</w:t>
      </w:r>
    </w:p>
    <w:p w14:paraId="5A8508A2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До настоящего времени случаев передозировки при применении данной комбинации не зарегистрировано.</w:t>
      </w:r>
    </w:p>
    <w:p w14:paraId="3CA90339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Кофеин (более 300 мг на прием или более </w:t>
      </w:r>
      <w:smartTag w:uri="urn:schemas-microsoft-com:office:smarttags" w:element="metricconverter">
        <w:smartTagPr>
          <w:attr w:name="ProductID" w:val="1 г"/>
        </w:smartTagPr>
        <w:r w:rsidRPr="003C1184">
          <w:rPr>
            <w:sz w:val="24"/>
            <w:szCs w:val="24"/>
          </w:rPr>
          <w:t>1 г</w:t>
        </w:r>
      </w:smartTag>
      <w:r w:rsidRPr="003C1184">
        <w:rPr>
          <w:sz w:val="24"/>
          <w:szCs w:val="24"/>
        </w:rPr>
        <w:t xml:space="preserve"> в сутки)</w:t>
      </w:r>
    </w:p>
    <w:p w14:paraId="3AED696A" w14:textId="77777777" w:rsidR="00C13B64" w:rsidRPr="003C1184" w:rsidRDefault="00C13B64" w:rsidP="003C1184">
      <w:pPr>
        <w:pStyle w:val="3"/>
        <w:spacing w:before="0" w:line="360" w:lineRule="auto"/>
        <w:rPr>
          <w:sz w:val="24"/>
        </w:rPr>
      </w:pPr>
      <w:r w:rsidRPr="003C1184">
        <w:rPr>
          <w:sz w:val="24"/>
        </w:rPr>
        <w:t>Симптомы</w:t>
      </w:r>
    </w:p>
    <w:p w14:paraId="40F1DAD4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Распространенными симптомами являются тревога, нервозность, беспокойство, бессонница, психическое возбуждение, мышечные подергивания, спутанность сознания, судороги. При выраженной передозировке может возникать гипергликемия. Кардиологические нарушения проявляются тахикардией и аритмией.</w:t>
      </w:r>
    </w:p>
    <w:p w14:paraId="1964D042" w14:textId="77777777" w:rsidR="00C13B64" w:rsidRPr="003C1184" w:rsidRDefault="00C13B64" w:rsidP="003C1184">
      <w:pPr>
        <w:pStyle w:val="3"/>
        <w:spacing w:before="0" w:line="360" w:lineRule="auto"/>
        <w:rPr>
          <w:sz w:val="24"/>
        </w:rPr>
      </w:pPr>
      <w:r w:rsidRPr="003C1184">
        <w:rPr>
          <w:sz w:val="24"/>
        </w:rPr>
        <w:t>Лечение</w:t>
      </w:r>
    </w:p>
    <w:p w14:paraId="4B963444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Снижение дозы или отмена кофеина.</w:t>
      </w:r>
    </w:p>
    <w:p w14:paraId="5C5FE8B2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Метамизол натрия (более </w:t>
      </w:r>
      <w:smartTag w:uri="urn:schemas-microsoft-com:office:smarttags" w:element="metricconverter">
        <w:smartTagPr>
          <w:attr w:name="ProductID" w:val="1 г"/>
        </w:smartTagPr>
        <w:r w:rsidRPr="003C1184">
          <w:rPr>
            <w:sz w:val="24"/>
            <w:szCs w:val="24"/>
          </w:rPr>
          <w:t>1 г</w:t>
        </w:r>
      </w:smartTag>
      <w:r w:rsidRPr="003C1184">
        <w:rPr>
          <w:sz w:val="24"/>
          <w:szCs w:val="24"/>
        </w:rPr>
        <w:t xml:space="preserve"> на прием, более </w:t>
      </w:r>
      <w:smartTag w:uri="urn:schemas-microsoft-com:office:smarttags" w:element="metricconverter">
        <w:smartTagPr>
          <w:attr w:name="ProductID" w:val="3 г"/>
        </w:smartTagPr>
        <w:r w:rsidRPr="003C1184">
          <w:rPr>
            <w:sz w:val="24"/>
            <w:szCs w:val="24"/>
          </w:rPr>
          <w:t>3 г</w:t>
        </w:r>
      </w:smartTag>
      <w:r w:rsidRPr="003C1184">
        <w:rPr>
          <w:sz w:val="24"/>
          <w:szCs w:val="24"/>
        </w:rPr>
        <w:t xml:space="preserve"> в сутки)</w:t>
      </w:r>
    </w:p>
    <w:p w14:paraId="666EE641" w14:textId="77777777" w:rsidR="00C13B64" w:rsidRPr="003C1184" w:rsidRDefault="00C13B64" w:rsidP="003C1184">
      <w:pPr>
        <w:pStyle w:val="3"/>
        <w:spacing w:before="0" w:line="360" w:lineRule="auto"/>
        <w:rPr>
          <w:sz w:val="24"/>
        </w:rPr>
      </w:pPr>
      <w:r w:rsidRPr="003C1184">
        <w:rPr>
          <w:sz w:val="24"/>
        </w:rPr>
        <w:t>Симптомы</w:t>
      </w:r>
    </w:p>
    <w:p w14:paraId="4784338A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Острая передозировка проявляется тошнотой, рвотой, болью в животе, нарушением функции почек/острой почечной недостаточностью (например, как проявление </w:t>
      </w:r>
      <w:r w:rsidRPr="003C1184">
        <w:rPr>
          <w:sz w:val="24"/>
          <w:szCs w:val="24"/>
        </w:rPr>
        <w:lastRenderedPageBreak/>
        <w:t>интерстициального нефрита) и, редко, симптомами со стороны центральной нервной системы (головокружением, сонливостью</w:t>
      </w:r>
      <w:r w:rsidR="00910888">
        <w:rPr>
          <w:sz w:val="24"/>
          <w:szCs w:val="24"/>
        </w:rPr>
        <w:t>,</w:t>
      </w:r>
      <w:r w:rsidRPr="003C1184">
        <w:rPr>
          <w:sz w:val="24"/>
          <w:szCs w:val="24"/>
        </w:rPr>
        <w:t xml:space="preserve"> комой, судорогами) и снижением артериального давления, приводящим к тахикардии и шоку.</w:t>
      </w:r>
    </w:p>
    <w:p w14:paraId="35BA0C80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При высокой передозировке экскреция рубазоновой кислоты может окрасить мочу в красный цвет.</w:t>
      </w:r>
    </w:p>
    <w:p w14:paraId="3D7E5C66" w14:textId="77777777" w:rsidR="00C13B64" w:rsidRPr="003C1184" w:rsidRDefault="00C13B64" w:rsidP="003C1184">
      <w:pPr>
        <w:pStyle w:val="3"/>
        <w:spacing w:before="0" w:line="360" w:lineRule="auto"/>
        <w:rPr>
          <w:sz w:val="24"/>
        </w:rPr>
      </w:pPr>
      <w:r w:rsidRPr="003C1184">
        <w:rPr>
          <w:sz w:val="24"/>
        </w:rPr>
        <w:t>Лечение</w:t>
      </w:r>
    </w:p>
    <w:p w14:paraId="33AB7CFD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Специфический антидот не известен. При недавней передозировке в целях ограничения поступления препарата в организм проводят первичную детоксикацию (например, промывание желудка) или сорбционную терапию (например, активированный уголь). Основной метаболит (4</w:t>
      </w:r>
      <w:r w:rsidRPr="003C1184">
        <w:rPr>
          <w:sz w:val="24"/>
          <w:szCs w:val="24"/>
          <w:lang w:val="en-US"/>
        </w:rPr>
        <w:t>N</w:t>
      </w:r>
      <w:r w:rsidRPr="003C1184">
        <w:rPr>
          <w:sz w:val="24"/>
          <w:szCs w:val="24"/>
        </w:rPr>
        <w:t>-метиламиноантипирин) удаляется при гемодиализе, гемофильтрации, гемоперфузии и плазмафильтрации.</w:t>
      </w:r>
    </w:p>
    <w:p w14:paraId="54E6B7C5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Лечение передозировки, равно как и профилактика серьезных осложнений может потребовать общего и специального интенсивного медицинского наблюдения и лечения.</w:t>
      </w:r>
    </w:p>
    <w:p w14:paraId="3224F3CF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Фенобарбитал</w:t>
      </w:r>
    </w:p>
    <w:p w14:paraId="4EAA0D9C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При приеме Т</w:t>
      </w:r>
      <w:r w:rsidR="00C30162">
        <w:rPr>
          <w:sz w:val="24"/>
          <w:szCs w:val="24"/>
        </w:rPr>
        <w:t>ри</w:t>
      </w:r>
      <w:r w:rsidRPr="003C1184">
        <w:rPr>
          <w:sz w:val="24"/>
          <w:szCs w:val="24"/>
        </w:rPr>
        <w:t>алгина</w:t>
      </w:r>
      <w:r w:rsidR="00896258" w:rsidRPr="00896258">
        <w:rPr>
          <w:sz w:val="24"/>
          <w:szCs w:val="24"/>
          <w:vertAlign w:val="superscript"/>
        </w:rPr>
        <w:t>®</w:t>
      </w:r>
      <w:r w:rsidRPr="003C1184">
        <w:rPr>
          <w:sz w:val="24"/>
          <w:szCs w:val="24"/>
        </w:rPr>
        <w:t xml:space="preserve"> передозировка фенобарбиталом маловероятна: одна упаковка препарата (20 таблеток) содержит одну максимальную разовую дозу фенобарбитала.</w:t>
      </w:r>
    </w:p>
    <w:p w14:paraId="6CD90976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  <w:lang w:eastAsia="ru-RU"/>
        </w:rPr>
      </w:pPr>
    </w:p>
    <w:p w14:paraId="5D4CF45E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Взаимодействие с другими лекарственными препаратами</w:t>
      </w:r>
    </w:p>
    <w:p w14:paraId="6C47A7C4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Метамизол натрия</w:t>
      </w:r>
    </w:p>
    <w:p w14:paraId="13FC007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Усиливает эффекты этанола. </w:t>
      </w:r>
    </w:p>
    <w:p w14:paraId="45A9BACE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Не рекомендуется одновременно применять рентгеноконтрастные лекарственные средства, коллоидные кровезаменители и пенициллин. </w:t>
      </w:r>
    </w:p>
    <w:p w14:paraId="1B703CD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При одновременном применении циклоспорина снижается концентрация последнего в крови, поэтому при их одновременном применении следует контролировать концентрацию циклоспорина. </w:t>
      </w:r>
    </w:p>
    <w:p w14:paraId="3BD9D872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Метамизол натрия увеличивает активность пероральных гипогликемических лекарственных средств, непрямых антикоагулянтов, глюкокортикостероидов и индометацина. </w:t>
      </w:r>
    </w:p>
    <w:p w14:paraId="2F5161EF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Фенилбутазон, барбитураты и другие индукторы микросомальных ферментов печени при одновременном применении уменьшают эффективность метамизола натрия. </w:t>
      </w:r>
    </w:p>
    <w:p w14:paraId="6026E377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Одновременное применение с другими ненаркотическими анальгетиками, трициклическими антидепрессантами, контрацептивными гормональными лекарственными средствами и аллопуринолом может привести к усилению их токсичности. </w:t>
      </w:r>
    </w:p>
    <w:p w14:paraId="4EF13DAC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lastRenderedPageBreak/>
        <w:t xml:space="preserve">Медативные и анксиолитические лекарственные средства (транквилизаторы) усиливают анальгезирующее действие метамизола натрия. </w:t>
      </w:r>
    </w:p>
    <w:p w14:paraId="17D7C97A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Тиамазол и цитостатики повышают риск развития лейкопении. </w:t>
      </w:r>
    </w:p>
    <w:p w14:paraId="4C59069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Эффект усиливают кодеин, блокаторы Н2-гистаминовых рецепторов и пропранолол (замедляет инактивацию). </w:t>
      </w:r>
    </w:p>
    <w:p w14:paraId="0E5DB9D4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Миелотоксические лекарственные средства усиливают проявление гематоксичности препарата. Одновременное применение метамизола натрия и метотрексата может усиливать гематотоксичность последнего, особенно у пациентов пожилого возраста. </w:t>
      </w:r>
    </w:p>
    <w:p w14:paraId="3CAEA2A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При одновременном применении метамизола натрия и хлорпромазина возможно развитие тяжелой гипотермии.</w:t>
      </w:r>
    </w:p>
    <w:p w14:paraId="12A1BF33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Фенобарбитал</w:t>
      </w:r>
    </w:p>
    <w:p w14:paraId="6230D0A8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Взаимодействие с другими лекарственными средствами обусловлено, в основном, способностью фенобарбитала индуцировать цитохром Р450 (преимущественно изофермент CYP3A4).</w:t>
      </w:r>
    </w:p>
    <w:p w14:paraId="05C1A1AA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Снижает антибактериальную активность антибиотиков и сульфаниламидов, противогрибковую активность гризеофульвина (снижает всасывание).</w:t>
      </w:r>
    </w:p>
    <w:p w14:paraId="7063A80F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Снижает эффективность непрямых антикоагулянтов, глюкокортикостероидов, доксициклина, эстрогенов и других лекарственных средств, метаболизирующихся микросомальными ферментами печени. Снотворное действие снижается при одновременном приеме атропина, экстракта красавки, декстрозы, тиамина, никотиновой кислоты, аналептиков и психостимулирующих средств.</w:t>
      </w:r>
    </w:p>
    <w:p w14:paraId="3A333538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При сочетании с резерпином уменьшается противосудорожное действие, под влиянием амитриптилина, ниаламида, диазепама, хлордиазепоксида — усиливается.</w:t>
      </w:r>
    </w:p>
    <w:p w14:paraId="598D833A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Ацетазоламид, ощелачивая мочу, снижает реабсорбцию фенобарбитала в почках и ослабляет его эффект.</w:t>
      </w:r>
    </w:p>
    <w:p w14:paraId="24F038C4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Усиливает действие алкоголя, нейролептиков, наркотических анальгетиков, миорелаксантов, седативных и снотворных средств.</w:t>
      </w:r>
    </w:p>
    <w:p w14:paraId="2EBE71E0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Кофеин</w:t>
      </w:r>
    </w:p>
    <w:p w14:paraId="5B235A77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Кофеин является антагонистом аденозида (могут потребоваться большие дозы аденозина). При совместном применении кофеина и барбитуратов, примидона, противосудорожных лекарственных средств (производное гидантоина, особенно фенитоин) возможно усиление метаболизма и увеличение клиренса кофеина; циметидина, пероральных контрацептивов, дисульфирама, ципрофлоксацина, норфлоксацина – снижение метаболизма кофеина в печени (замедление его выведения и увеличение концентрации в крови). Кофеинсодержащие напитки и другие лекарственные средства, стимулирующие </w:t>
      </w:r>
      <w:r w:rsidRPr="003C1184">
        <w:rPr>
          <w:sz w:val="24"/>
          <w:szCs w:val="24"/>
        </w:rPr>
        <w:lastRenderedPageBreak/>
        <w:t>центральную нервную систему, - возможна чрезмерная стимуляция центральной нервной системы. Мексилетин – снижает выведение кофеина на 50</w:t>
      </w:r>
      <w:r w:rsidR="001F7009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 xml:space="preserve">%; никотин – увеличивает скорость выведения кофеина. Ингибиторы моноаминоксидазы, фуразолидон, прокарбазин и селегилин – большие дозы кофеина (более 300 мг/сут) могут вызывать развитие жизнеугрожающих аритмий сердца или выраженного повышения артериального давления. Кофеин снижает всасывание препаратов кальция в желудочно-кишечном тракте. Снижает эффективность наркотических и снотворных лекарственных средств. Увеличивает выведение препаратов лития с мочой. Ускоряет всасывание и усиливает действие сердечных гликозидов, повышает их токсичность. Совместное применение с бета-адреноблокаторами может приводить к взаимному подавлению терапевтических эффектов; с </w:t>
      </w:r>
      <w:r w:rsidRPr="003C1184">
        <w:rPr>
          <w:sz w:val="24"/>
          <w:szCs w:val="24"/>
          <w:lang w:val="en-US"/>
        </w:rPr>
        <w:t>β</w:t>
      </w:r>
      <w:r w:rsidRPr="003C1184">
        <w:rPr>
          <w:sz w:val="24"/>
          <w:szCs w:val="24"/>
        </w:rPr>
        <w:t>-адреномиметиками – к дополнительной стимуляции центральной нервной системы и другим аддитивным токсическим эффектам. Кофеин может снижать клиренс теофиллина и, возможно, других ксантинов, увеличивая возможность аддитивных фармакодинамических и токсических эффектов.</w:t>
      </w:r>
    </w:p>
    <w:p w14:paraId="76527AFE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  <w:lang w:val="ru-RU" w:eastAsia="ru-RU"/>
        </w:rPr>
      </w:pPr>
    </w:p>
    <w:p w14:paraId="55455477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Особые указания</w:t>
      </w:r>
    </w:p>
    <w:p w14:paraId="5FC62C2D" w14:textId="77777777" w:rsidR="00C13B64" w:rsidRPr="003C1184" w:rsidRDefault="00C13B64" w:rsidP="003C1184">
      <w:pPr>
        <w:spacing w:after="0" w:line="360" w:lineRule="auto"/>
        <w:rPr>
          <w:sz w:val="24"/>
          <w:szCs w:val="24"/>
          <w:u w:val="single"/>
          <w:lang w:eastAsia="ru-RU"/>
        </w:rPr>
      </w:pPr>
      <w:r w:rsidRPr="003C1184">
        <w:rPr>
          <w:sz w:val="24"/>
          <w:szCs w:val="24"/>
          <w:u w:val="single"/>
          <w:lang w:eastAsia="ru-RU"/>
        </w:rPr>
        <w:t>Препарат не следует принимать более 5 дней подряд.</w:t>
      </w:r>
    </w:p>
    <w:p w14:paraId="5099971C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Вследствие содержания в препарате кофеина</w:t>
      </w:r>
    </w:p>
    <w:p w14:paraId="2F46E21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Препарат следует с осторожностью назначать пациентам с подагрой, гипертиреозом и аритмией.</w:t>
      </w:r>
    </w:p>
    <w:p w14:paraId="4D5B784C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При применении препарата следует ограничить потребление продуктов, содержащих кофеин, поскольку избыточное поступление кофеина может привести к нервозности, раздражительности, бессоннице и, в некоторых случаях, учащению сердцебиения.</w:t>
      </w:r>
    </w:p>
    <w:p w14:paraId="4922D872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Вследствие содержания в препарате метамизола натрия</w:t>
      </w:r>
    </w:p>
    <w:p w14:paraId="58D66946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При сохранении повышенной температуры тела и симптомов «недомогания» при «простудных» заболеваниях на фоне приема препарата в течение 48 часов следует обратиться к врачу.</w:t>
      </w:r>
    </w:p>
    <w:p w14:paraId="349196CB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При длительном (более 5 дней) применении препарата необходим контроль картины периферической крови и функционального состояния печени.</w:t>
      </w:r>
    </w:p>
    <w:p w14:paraId="5052C6F5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На фоне длительного приема высоких доз препарата в связи с содержанием метамизола натрия возможно развитие агранулоцитоза или тромбоцитопении, поэтому при выявлении немотивированного подъема температуры, озноба, болей в горле, затруднении глотания, стоматита, а также при развитии явлений вагинита или проктита необходима немедленная отмена препарата. </w:t>
      </w:r>
      <w:r w:rsidR="00364A22" w:rsidRPr="003C1184">
        <w:rPr>
          <w:sz w:val="24"/>
          <w:szCs w:val="24"/>
        </w:rPr>
        <w:t xml:space="preserve">При развитии панцитопении препарат необходимо немедленно отменить и контролировать общий анализ крови до возвращения его показателей к норме. </w:t>
      </w:r>
      <w:r w:rsidRPr="003C1184">
        <w:rPr>
          <w:sz w:val="24"/>
          <w:szCs w:val="24"/>
        </w:rPr>
        <w:lastRenderedPageBreak/>
        <w:t>Всем пациентам следует рекомендовать немедленно обращаться за медицинской помощью при возникновении в ходе лечения признаков и симптомов, напоминающих нарушения со стороны крови (например, общая слабость, инфекции, стойкая лихорадка, появление гематом, кровотечение, бледность). Прекращение терапии не следует откладывать до получения результатов лабораторных исследований.</w:t>
      </w:r>
    </w:p>
    <w:p w14:paraId="12A77D59" w14:textId="77777777" w:rsidR="00C13B64" w:rsidRPr="003C1184" w:rsidRDefault="00C13B64" w:rsidP="003C1184">
      <w:pPr>
        <w:shd w:val="clear" w:color="auto" w:fill="FFFFFF"/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На фоне применения высоких доз метамизола натрия были описаны угрожающие жизни тяжелые кожные реакции: синдром Стивенса-Джонсона (ССД) и токсический эпидермальный некролиз (ТЭН). При появлении признаков ССД или ТЭН (таких как прогрессирующая кожная сыпь, часто сопровождаемая волдырями или изъязвлением слизистой оболочки) лечение метамизолом следует немедленно прекратить и никогда его не возобновлять.</w:t>
      </w:r>
    </w:p>
    <w:p w14:paraId="3E8078BA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У больных атопической бронхиальной астмой и поллинозами имеется повышенный риск развития аллергических реакций. </w:t>
      </w:r>
    </w:p>
    <w:p w14:paraId="61A456A7" w14:textId="77777777" w:rsidR="00C13B64" w:rsidRPr="003C1184" w:rsidRDefault="00C13B64" w:rsidP="003C1184">
      <w:pPr>
        <w:pStyle w:val="3"/>
        <w:spacing w:before="0" w:line="360" w:lineRule="auto"/>
        <w:rPr>
          <w:sz w:val="24"/>
        </w:rPr>
      </w:pPr>
      <w:r w:rsidRPr="003C1184">
        <w:rPr>
          <w:sz w:val="24"/>
        </w:rPr>
        <w:t>Боль в животе</w:t>
      </w:r>
    </w:p>
    <w:p w14:paraId="789D31C3" w14:textId="77777777" w:rsidR="00C13B64" w:rsidRPr="003C1184" w:rsidRDefault="00C13B64" w:rsidP="003C1184">
      <w:pPr>
        <w:shd w:val="clear" w:color="auto" w:fill="FFFFFF"/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Недопустимо применение препарата для снятия острых болей в животе (до выяснения их причины).</w:t>
      </w:r>
    </w:p>
    <w:p w14:paraId="418AF1A9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Вследствие содержания в препарате фенобарбитала</w:t>
      </w:r>
    </w:p>
    <w:p w14:paraId="0A65C8EC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Следует избегать длительного применения препарата в связи с возможностью кумуляции фенобарбитала в организме и развития привыкания или лекарственной зависимости.</w:t>
      </w:r>
    </w:p>
    <w:p w14:paraId="7DD9C81E" w14:textId="77777777" w:rsidR="00C13B64" w:rsidRPr="003C1184" w:rsidRDefault="00C13B64" w:rsidP="003C1184">
      <w:pPr>
        <w:pStyle w:val="2"/>
        <w:spacing w:before="0"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Вспомогательные вещества</w:t>
      </w:r>
    </w:p>
    <w:p w14:paraId="26DF248E" w14:textId="77777777" w:rsidR="00C13B64" w:rsidRPr="003C1184" w:rsidRDefault="00C13B64" w:rsidP="003C1184">
      <w:pPr>
        <w:shd w:val="clear" w:color="auto" w:fill="FFFFFF"/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Одна таблетка препарата содержит 0,85 ммоль (19,64 мг) натрия, что необходимо учитывать у лиц, контролирующих поступление натрия с пищей (находящихся на диете с низким содержанием соли/натрия).</w:t>
      </w:r>
    </w:p>
    <w:p w14:paraId="598A2697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Влияние на способность управлять транспортными средствами и работать с механизмами</w:t>
      </w:r>
    </w:p>
    <w:p w14:paraId="23F741E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Препарат не влияет или слабо влияет на координацию движени</w:t>
      </w:r>
      <w:r w:rsidR="00281768">
        <w:rPr>
          <w:sz w:val="24"/>
          <w:szCs w:val="24"/>
        </w:rPr>
        <w:t>й</w:t>
      </w:r>
      <w:r w:rsidRPr="003C1184">
        <w:rPr>
          <w:sz w:val="24"/>
          <w:szCs w:val="24"/>
        </w:rPr>
        <w:t>, однако содержит вещества (кофеин, фенобарбитал), которые выраженно влияют на центральную нервную систему, в связи с чем в период лечения необходимо соблюдать осторожность при управлении транспортными средствами</w:t>
      </w:r>
      <w:r w:rsidR="0071799B">
        <w:rPr>
          <w:sz w:val="24"/>
          <w:szCs w:val="24"/>
        </w:rPr>
        <w:t>, работ</w:t>
      </w:r>
      <w:r w:rsidR="003E4ADA">
        <w:rPr>
          <w:sz w:val="24"/>
          <w:szCs w:val="24"/>
        </w:rPr>
        <w:t>е</w:t>
      </w:r>
      <w:r w:rsidR="00280ACC">
        <w:rPr>
          <w:sz w:val="24"/>
          <w:szCs w:val="24"/>
        </w:rPr>
        <w:t xml:space="preserve"> с механизмами и занятиях</w:t>
      </w:r>
      <w:r w:rsidRPr="003C1184">
        <w:rPr>
          <w:sz w:val="24"/>
          <w:szCs w:val="24"/>
        </w:rPr>
        <w:t xml:space="preserve"> другими потенциально опасным</w:t>
      </w:r>
      <w:r w:rsidR="0066363F">
        <w:rPr>
          <w:sz w:val="24"/>
          <w:szCs w:val="24"/>
        </w:rPr>
        <w:t>и</w:t>
      </w:r>
      <w:r w:rsidR="00280ACC">
        <w:rPr>
          <w:sz w:val="24"/>
          <w:szCs w:val="24"/>
        </w:rPr>
        <w:t xml:space="preserve"> видами деятельности, требующих</w:t>
      </w:r>
      <w:r w:rsidRPr="003C1184">
        <w:rPr>
          <w:sz w:val="24"/>
          <w:szCs w:val="24"/>
        </w:rPr>
        <w:t xml:space="preserve"> повышенной концентрации внимания и быстроты психомоторных реакций.</w:t>
      </w:r>
    </w:p>
    <w:p w14:paraId="620126CB" w14:textId="77777777" w:rsidR="00D21857" w:rsidRPr="00464778" w:rsidRDefault="00D21857" w:rsidP="00D21857">
      <w:pPr>
        <w:pStyle w:val="ab"/>
        <w:spacing w:line="360" w:lineRule="auto"/>
        <w:rPr>
          <w:b/>
          <w:sz w:val="24"/>
          <w:szCs w:val="24"/>
        </w:rPr>
      </w:pPr>
      <w:r w:rsidRPr="00464778">
        <w:rPr>
          <w:b/>
          <w:sz w:val="24"/>
          <w:szCs w:val="24"/>
        </w:rPr>
        <w:t>Форма выпуска</w:t>
      </w:r>
    </w:p>
    <w:p w14:paraId="613A3201" w14:textId="77777777" w:rsidR="00D21857" w:rsidRPr="00464778" w:rsidRDefault="00D21857" w:rsidP="00D21857">
      <w:pPr>
        <w:pStyle w:val="ab"/>
        <w:spacing w:line="360" w:lineRule="auto"/>
        <w:jc w:val="both"/>
        <w:rPr>
          <w:sz w:val="24"/>
          <w:szCs w:val="24"/>
        </w:rPr>
      </w:pPr>
      <w:r w:rsidRPr="00464778">
        <w:rPr>
          <w:sz w:val="24"/>
          <w:szCs w:val="24"/>
        </w:rPr>
        <w:t>Таблетки. По 10 таблеток в контурную ячейковую упаковку из пленки поливинилхлоридной и фольги алюминиевой печатной лакированной.</w:t>
      </w:r>
    </w:p>
    <w:p w14:paraId="109D3EA9" w14:textId="77777777" w:rsidR="00D21857" w:rsidRPr="00464778" w:rsidRDefault="00D21857" w:rsidP="00D21857">
      <w:pPr>
        <w:pStyle w:val="ab"/>
        <w:spacing w:line="360" w:lineRule="auto"/>
        <w:jc w:val="both"/>
        <w:rPr>
          <w:sz w:val="24"/>
          <w:szCs w:val="24"/>
          <w:lang w:val="ru-RU"/>
        </w:rPr>
      </w:pPr>
      <w:r w:rsidRPr="00464778">
        <w:rPr>
          <w:sz w:val="24"/>
          <w:szCs w:val="24"/>
        </w:rPr>
        <w:t>По 20 таблеток в</w:t>
      </w:r>
      <w:r w:rsidRPr="00464778">
        <w:rPr>
          <w:sz w:val="24"/>
          <w:szCs w:val="24"/>
          <w:lang w:val="ru-RU"/>
        </w:rPr>
        <w:t xml:space="preserve"> банки</w:t>
      </w:r>
      <w:r w:rsidRPr="00464778">
        <w:rPr>
          <w:sz w:val="24"/>
          <w:szCs w:val="24"/>
        </w:rPr>
        <w:t xml:space="preserve"> полимерны</w:t>
      </w:r>
      <w:r w:rsidRPr="00464778">
        <w:rPr>
          <w:sz w:val="24"/>
          <w:szCs w:val="24"/>
          <w:lang w:val="ru-RU"/>
        </w:rPr>
        <w:t>е</w:t>
      </w:r>
      <w:r w:rsidRPr="00464778">
        <w:rPr>
          <w:sz w:val="24"/>
          <w:szCs w:val="24"/>
        </w:rPr>
        <w:t xml:space="preserve"> с </w:t>
      </w:r>
      <w:r w:rsidRPr="00464778">
        <w:rPr>
          <w:sz w:val="24"/>
          <w:szCs w:val="24"/>
          <w:lang w:val="ru-RU"/>
        </w:rPr>
        <w:t>контролем первого вскрытия и амортизатором.</w:t>
      </w:r>
    </w:p>
    <w:p w14:paraId="645F1478" w14:textId="7B799B41" w:rsidR="00D21857" w:rsidRDefault="00D21857" w:rsidP="00D21857">
      <w:pPr>
        <w:spacing w:after="0" w:line="360" w:lineRule="auto"/>
        <w:rPr>
          <w:sz w:val="24"/>
          <w:szCs w:val="24"/>
        </w:rPr>
      </w:pPr>
      <w:r w:rsidRPr="00464778">
        <w:rPr>
          <w:sz w:val="24"/>
          <w:szCs w:val="24"/>
        </w:rPr>
        <w:lastRenderedPageBreak/>
        <w:t>1 или 2 контурные ячейковые упаковки или 1</w:t>
      </w:r>
      <w:r>
        <w:rPr>
          <w:sz w:val="24"/>
          <w:szCs w:val="24"/>
        </w:rPr>
        <w:t> </w:t>
      </w:r>
      <w:r w:rsidRPr="00464778">
        <w:rPr>
          <w:sz w:val="24"/>
          <w:szCs w:val="24"/>
        </w:rPr>
        <w:t>банку вместе с инструкцией по применению помещают в пачку из картона.</w:t>
      </w:r>
    </w:p>
    <w:p w14:paraId="3F89B771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Условия хранения</w:t>
      </w:r>
    </w:p>
    <w:p w14:paraId="25A66A32" w14:textId="77777777" w:rsidR="00D21857" w:rsidRDefault="00D21857" w:rsidP="00D21857">
      <w:pPr>
        <w:pStyle w:val="ab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</w:t>
      </w:r>
      <w:r w:rsidRPr="00464778">
        <w:rPr>
          <w:sz w:val="24"/>
          <w:szCs w:val="24"/>
        </w:rPr>
        <w:t xml:space="preserve"> температуре не выше 25 </w:t>
      </w:r>
      <w:r>
        <w:rPr>
          <w:sz w:val="24"/>
          <w:szCs w:val="24"/>
          <w:lang w:val="ru-RU"/>
        </w:rPr>
        <w:t>°</w:t>
      </w:r>
      <w:r w:rsidRPr="00464778">
        <w:rPr>
          <w:sz w:val="24"/>
          <w:szCs w:val="24"/>
        </w:rPr>
        <w:t>С</w:t>
      </w:r>
      <w:r>
        <w:rPr>
          <w:sz w:val="24"/>
          <w:szCs w:val="24"/>
          <w:lang w:val="ru-RU"/>
        </w:rPr>
        <w:t>, в оригинальной упаковке.</w:t>
      </w:r>
    </w:p>
    <w:p w14:paraId="76237392" w14:textId="7C44C2D9" w:rsidR="00C13B64" w:rsidRPr="003C1184" w:rsidRDefault="00D21857" w:rsidP="00D21857">
      <w:pPr>
        <w:spacing w:after="0" w:line="360" w:lineRule="auto"/>
        <w:rPr>
          <w:sz w:val="24"/>
          <w:szCs w:val="24"/>
        </w:rPr>
      </w:pPr>
      <w:r w:rsidRPr="00793AD6">
        <w:rPr>
          <w:bCs/>
          <w:sz w:val="24"/>
          <w:szCs w:val="24"/>
        </w:rPr>
        <w:t>Хранить в недоступном для детей месте</w:t>
      </w:r>
      <w:r>
        <w:rPr>
          <w:bCs/>
          <w:sz w:val="24"/>
          <w:szCs w:val="24"/>
        </w:rPr>
        <w:t>.</w:t>
      </w:r>
    </w:p>
    <w:p w14:paraId="49159A01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Срок годности</w:t>
      </w:r>
    </w:p>
    <w:p w14:paraId="5CC1FCD7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3 года.</w:t>
      </w:r>
    </w:p>
    <w:p w14:paraId="190DB433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Не применять после истечения срока годности.</w:t>
      </w:r>
    </w:p>
    <w:p w14:paraId="3DC6D82D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Условия отпуска</w:t>
      </w:r>
    </w:p>
    <w:p w14:paraId="10601369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Без рецепта.</w:t>
      </w:r>
    </w:p>
    <w:p w14:paraId="50D56D8C" w14:textId="77777777" w:rsidR="00C13B64" w:rsidRPr="00D21857" w:rsidRDefault="00C13B64" w:rsidP="003C1184">
      <w:pPr>
        <w:pStyle w:val="2"/>
        <w:spacing w:before="0" w:after="0" w:line="360" w:lineRule="auto"/>
        <w:rPr>
          <w:i w:val="0"/>
          <w:iCs/>
          <w:sz w:val="24"/>
          <w:szCs w:val="24"/>
        </w:rPr>
      </w:pPr>
      <w:r w:rsidRPr="00D21857">
        <w:rPr>
          <w:i w:val="0"/>
          <w:iCs/>
          <w:sz w:val="24"/>
          <w:szCs w:val="24"/>
        </w:rPr>
        <w:t>Наименование юридического лица, на имя которого выдано регистрационное удостоверение/Организация, принимающая претензии от потребителей</w:t>
      </w:r>
    </w:p>
    <w:p w14:paraId="26D87BDD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 xml:space="preserve">ЗАО «ФПК ФармВИЛАР», Россия, </w:t>
      </w:r>
      <w:smartTag w:uri="urn:schemas-microsoft-com:office:smarttags" w:element="metricconverter">
        <w:smartTagPr>
          <w:attr w:name="ProductID" w:val="117216, г"/>
        </w:smartTagPr>
        <w:r w:rsidRPr="003C1184">
          <w:rPr>
            <w:sz w:val="24"/>
            <w:szCs w:val="24"/>
          </w:rPr>
          <w:t>117216, г</w:t>
        </w:r>
      </w:smartTag>
      <w:r w:rsidRPr="003C1184">
        <w:rPr>
          <w:sz w:val="24"/>
          <w:szCs w:val="24"/>
        </w:rPr>
        <w:t>. Москва, ул. Грина, д.</w:t>
      </w:r>
      <w:r w:rsidR="003E4ADA">
        <w:rPr>
          <w:sz w:val="24"/>
          <w:szCs w:val="24"/>
        </w:rPr>
        <w:t xml:space="preserve"> </w:t>
      </w:r>
      <w:r w:rsidRPr="003C1184">
        <w:rPr>
          <w:sz w:val="24"/>
          <w:szCs w:val="24"/>
        </w:rPr>
        <w:t>7</w:t>
      </w:r>
    </w:p>
    <w:p w14:paraId="5A148541" w14:textId="77777777" w:rsidR="00C13B64" w:rsidRPr="003C1184" w:rsidRDefault="00C13B64" w:rsidP="003C1184">
      <w:pPr>
        <w:spacing w:after="0" w:line="360" w:lineRule="auto"/>
        <w:rPr>
          <w:sz w:val="24"/>
          <w:szCs w:val="24"/>
        </w:rPr>
      </w:pPr>
      <w:r w:rsidRPr="003C1184">
        <w:rPr>
          <w:sz w:val="24"/>
          <w:szCs w:val="24"/>
        </w:rPr>
        <w:t>Тел/факс: +7(49</w:t>
      </w:r>
      <w:r w:rsidR="005B77D1">
        <w:rPr>
          <w:sz w:val="24"/>
          <w:szCs w:val="24"/>
        </w:rPr>
        <w:t>9</w:t>
      </w:r>
      <w:r w:rsidRPr="003C1184">
        <w:rPr>
          <w:sz w:val="24"/>
          <w:szCs w:val="24"/>
        </w:rPr>
        <w:t xml:space="preserve">) </w:t>
      </w:r>
      <w:r w:rsidR="005B77D1">
        <w:rPr>
          <w:sz w:val="24"/>
          <w:szCs w:val="24"/>
        </w:rPr>
        <w:t>372</w:t>
      </w:r>
      <w:r w:rsidRPr="003C1184">
        <w:rPr>
          <w:sz w:val="24"/>
          <w:szCs w:val="24"/>
        </w:rPr>
        <w:t>-</w:t>
      </w:r>
      <w:r w:rsidR="005B77D1">
        <w:rPr>
          <w:sz w:val="24"/>
          <w:szCs w:val="24"/>
        </w:rPr>
        <w:t>13</w:t>
      </w:r>
      <w:r w:rsidRPr="003C1184">
        <w:rPr>
          <w:sz w:val="24"/>
          <w:szCs w:val="24"/>
        </w:rPr>
        <w:t>-</w:t>
      </w:r>
      <w:r w:rsidR="005B77D1">
        <w:rPr>
          <w:sz w:val="24"/>
          <w:szCs w:val="24"/>
        </w:rPr>
        <w:t>23</w:t>
      </w:r>
    </w:p>
    <w:p w14:paraId="604902C0" w14:textId="77777777" w:rsidR="00C13B64" w:rsidRPr="003C1184" w:rsidRDefault="00C13B64" w:rsidP="003C1184">
      <w:pPr>
        <w:pStyle w:val="1"/>
        <w:spacing w:before="0" w:after="0" w:line="360" w:lineRule="auto"/>
        <w:rPr>
          <w:sz w:val="24"/>
          <w:szCs w:val="24"/>
          <w:lang w:eastAsia="ru-RU"/>
        </w:rPr>
      </w:pPr>
      <w:r w:rsidRPr="003C1184">
        <w:rPr>
          <w:sz w:val="24"/>
          <w:szCs w:val="24"/>
          <w:lang w:eastAsia="ru-RU"/>
        </w:rPr>
        <w:t>Производитель</w:t>
      </w:r>
    </w:p>
    <w:p w14:paraId="782522ED" w14:textId="3D24956B" w:rsidR="00C13B64" w:rsidRPr="003C1184" w:rsidRDefault="00D21857" w:rsidP="00D21857">
      <w:pPr>
        <w:spacing w:after="0" w:line="360" w:lineRule="auto"/>
        <w:rPr>
          <w:sz w:val="24"/>
          <w:szCs w:val="24"/>
        </w:rPr>
      </w:pPr>
      <w:r w:rsidRPr="00D21857">
        <w:rPr>
          <w:sz w:val="24"/>
          <w:szCs w:val="24"/>
        </w:rPr>
        <w:t>ООО НПО «ФармВИЛАР», Россия, 249096, Калужская обл., Малоярославецкий район, г. Малоярославец, ул. Коммунистическая, д. 115.</w:t>
      </w:r>
    </w:p>
    <w:p w14:paraId="21DFD7CB" w14:textId="457923EB" w:rsidR="009F68D2" w:rsidRPr="003C1184" w:rsidRDefault="009F68D2" w:rsidP="003C1184">
      <w:pPr>
        <w:spacing w:after="0" w:line="360" w:lineRule="auto"/>
        <w:rPr>
          <w:sz w:val="24"/>
          <w:szCs w:val="24"/>
        </w:rPr>
      </w:pPr>
    </w:p>
    <w:sectPr w:rsidR="009F68D2" w:rsidRPr="003C1184" w:rsidSect="00E0325B"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8E36E" w14:textId="77777777" w:rsidR="00E5214D" w:rsidRDefault="00E5214D" w:rsidP="00E0325B">
      <w:pPr>
        <w:spacing w:after="0"/>
      </w:pPr>
      <w:r>
        <w:separator/>
      </w:r>
    </w:p>
  </w:endnote>
  <w:endnote w:type="continuationSeparator" w:id="0">
    <w:p w14:paraId="2C5A8910" w14:textId="77777777" w:rsidR="00E5214D" w:rsidRDefault="00E5214D" w:rsidP="00E032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2AF33" w14:textId="356BFD0B" w:rsidR="00E0325B" w:rsidRDefault="00E0325B" w:rsidP="00D21857">
    <w:pPr>
      <w:pStyle w:val="a6"/>
      <w:jc w:val="right"/>
    </w:pPr>
    <w:r w:rsidRPr="00E0325B">
      <w:rPr>
        <w:sz w:val="24"/>
        <w:szCs w:val="24"/>
      </w:rPr>
      <w:fldChar w:fldCharType="begin"/>
    </w:r>
    <w:r w:rsidRPr="00E0325B">
      <w:rPr>
        <w:sz w:val="24"/>
        <w:szCs w:val="24"/>
      </w:rPr>
      <w:instrText>PAGE   \* MERGEFORMAT</w:instrText>
    </w:r>
    <w:r w:rsidRPr="00E0325B">
      <w:rPr>
        <w:sz w:val="24"/>
        <w:szCs w:val="24"/>
      </w:rPr>
      <w:fldChar w:fldCharType="separate"/>
    </w:r>
    <w:r w:rsidR="00EF5F0B">
      <w:rPr>
        <w:noProof/>
        <w:sz w:val="24"/>
        <w:szCs w:val="24"/>
      </w:rPr>
      <w:t>11</w:t>
    </w:r>
    <w:r w:rsidRPr="00E0325B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595D0" w14:textId="77777777" w:rsidR="00E5214D" w:rsidRDefault="00E5214D" w:rsidP="00E0325B">
      <w:pPr>
        <w:spacing w:after="0"/>
      </w:pPr>
      <w:r>
        <w:separator/>
      </w:r>
    </w:p>
  </w:footnote>
  <w:footnote w:type="continuationSeparator" w:id="0">
    <w:p w14:paraId="089B4502" w14:textId="77777777" w:rsidR="00E5214D" w:rsidRDefault="00E5214D" w:rsidP="00E032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E0E4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64"/>
    <w:rsid w:val="000729A1"/>
    <w:rsid w:val="00077DF5"/>
    <w:rsid w:val="000A2BBF"/>
    <w:rsid w:val="000A7379"/>
    <w:rsid w:val="000F6255"/>
    <w:rsid w:val="00124798"/>
    <w:rsid w:val="00126814"/>
    <w:rsid w:val="0017586B"/>
    <w:rsid w:val="0018645A"/>
    <w:rsid w:val="001F7009"/>
    <w:rsid w:val="00224760"/>
    <w:rsid w:val="00243DED"/>
    <w:rsid w:val="00280ACC"/>
    <w:rsid w:val="00281768"/>
    <w:rsid w:val="002C3E86"/>
    <w:rsid w:val="002C4C69"/>
    <w:rsid w:val="0034719F"/>
    <w:rsid w:val="003648C7"/>
    <w:rsid w:val="00364A22"/>
    <w:rsid w:val="00364E69"/>
    <w:rsid w:val="003B20C6"/>
    <w:rsid w:val="003C1184"/>
    <w:rsid w:val="003E4ADA"/>
    <w:rsid w:val="00421B29"/>
    <w:rsid w:val="00457D09"/>
    <w:rsid w:val="004B6B2F"/>
    <w:rsid w:val="004D0C89"/>
    <w:rsid w:val="004E30AB"/>
    <w:rsid w:val="00503CC6"/>
    <w:rsid w:val="0053597F"/>
    <w:rsid w:val="0058614E"/>
    <w:rsid w:val="005868E5"/>
    <w:rsid w:val="005942BB"/>
    <w:rsid w:val="005B3A63"/>
    <w:rsid w:val="005B77D1"/>
    <w:rsid w:val="005C2BF3"/>
    <w:rsid w:val="00612847"/>
    <w:rsid w:val="00653F3A"/>
    <w:rsid w:val="0066363F"/>
    <w:rsid w:val="006E4186"/>
    <w:rsid w:val="0071799B"/>
    <w:rsid w:val="007626B1"/>
    <w:rsid w:val="00765520"/>
    <w:rsid w:val="00765672"/>
    <w:rsid w:val="007D7BCD"/>
    <w:rsid w:val="00896258"/>
    <w:rsid w:val="008A1446"/>
    <w:rsid w:val="008A3F6F"/>
    <w:rsid w:val="008C159B"/>
    <w:rsid w:val="00910888"/>
    <w:rsid w:val="009663C5"/>
    <w:rsid w:val="009815A4"/>
    <w:rsid w:val="00995960"/>
    <w:rsid w:val="009F68D2"/>
    <w:rsid w:val="00A02404"/>
    <w:rsid w:val="00A26266"/>
    <w:rsid w:val="00A741FA"/>
    <w:rsid w:val="00AA3258"/>
    <w:rsid w:val="00AC20BA"/>
    <w:rsid w:val="00B06669"/>
    <w:rsid w:val="00B63FC8"/>
    <w:rsid w:val="00BB71DD"/>
    <w:rsid w:val="00C13B64"/>
    <w:rsid w:val="00C30162"/>
    <w:rsid w:val="00C72366"/>
    <w:rsid w:val="00CA6684"/>
    <w:rsid w:val="00CF5A77"/>
    <w:rsid w:val="00D21857"/>
    <w:rsid w:val="00D42FEE"/>
    <w:rsid w:val="00DA43DE"/>
    <w:rsid w:val="00DC7903"/>
    <w:rsid w:val="00DF2871"/>
    <w:rsid w:val="00E0325B"/>
    <w:rsid w:val="00E5214D"/>
    <w:rsid w:val="00E55CFA"/>
    <w:rsid w:val="00E55D69"/>
    <w:rsid w:val="00E61237"/>
    <w:rsid w:val="00E82D3C"/>
    <w:rsid w:val="00EC432D"/>
    <w:rsid w:val="00ED4C91"/>
    <w:rsid w:val="00EE2803"/>
    <w:rsid w:val="00EF5F0B"/>
    <w:rsid w:val="00F230F8"/>
    <w:rsid w:val="00F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2DB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3B64"/>
    <w:pPr>
      <w:spacing w:after="60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13B64"/>
    <w:pPr>
      <w:keepNext/>
      <w:keepLines/>
      <w:spacing w:before="240" w:after="120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C13B64"/>
    <w:pPr>
      <w:keepNext/>
      <w:keepLines/>
      <w:spacing w:before="240"/>
      <w:outlineLvl w:val="1"/>
    </w:pPr>
    <w:rPr>
      <w:rFonts w:eastAsia="Times New Roman"/>
      <w:b/>
      <w:bCs/>
      <w:i/>
      <w:szCs w:val="26"/>
      <w:lang w:val="x-none" w:eastAsia="x-none"/>
    </w:rPr>
  </w:style>
  <w:style w:type="paragraph" w:styleId="3">
    <w:name w:val="heading 3"/>
    <w:basedOn w:val="a0"/>
    <w:next w:val="a0"/>
    <w:link w:val="30"/>
    <w:qFormat/>
    <w:rsid w:val="00C13B64"/>
    <w:pPr>
      <w:autoSpaceDE w:val="0"/>
      <w:autoSpaceDN w:val="0"/>
      <w:adjustRightInd w:val="0"/>
      <w:spacing w:before="240" w:after="0" w:line="269" w:lineRule="exact"/>
      <w:outlineLvl w:val="2"/>
    </w:pPr>
    <w:rPr>
      <w:rFonts w:eastAsia="Times New Roman"/>
      <w:i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B64"/>
    <w:rPr>
      <w:b/>
      <w:bCs/>
      <w:sz w:val="28"/>
      <w:szCs w:val="28"/>
      <w:lang w:val="x-none" w:eastAsia="x-none" w:bidi="ar-SA"/>
    </w:rPr>
  </w:style>
  <w:style w:type="character" w:customStyle="1" w:styleId="20">
    <w:name w:val="Заголовок 2 Знак"/>
    <w:link w:val="2"/>
    <w:rsid w:val="00C13B64"/>
    <w:rPr>
      <w:b/>
      <w:bCs/>
      <w:i/>
      <w:sz w:val="28"/>
      <w:szCs w:val="26"/>
      <w:lang w:val="x-none" w:eastAsia="x-none" w:bidi="ar-SA"/>
    </w:rPr>
  </w:style>
  <w:style w:type="character" w:customStyle="1" w:styleId="30">
    <w:name w:val="Заголовок 3 Знак"/>
    <w:link w:val="3"/>
    <w:rsid w:val="00C13B64"/>
    <w:rPr>
      <w:i/>
      <w:sz w:val="28"/>
      <w:szCs w:val="24"/>
      <w:lang w:val="x-none" w:eastAsia="ru-RU" w:bidi="ar-SA"/>
    </w:rPr>
  </w:style>
  <w:style w:type="paragraph" w:styleId="a">
    <w:name w:val="List Bullet"/>
    <w:basedOn w:val="a0"/>
    <w:rsid w:val="00C13B64"/>
    <w:pPr>
      <w:numPr>
        <w:numId w:val="1"/>
      </w:numPr>
      <w:contextualSpacing/>
    </w:pPr>
  </w:style>
  <w:style w:type="character" w:customStyle="1" w:styleId="s7">
    <w:name w:val="s7"/>
    <w:basedOn w:val="a1"/>
    <w:rsid w:val="00C13B64"/>
  </w:style>
  <w:style w:type="paragraph" w:styleId="a4">
    <w:name w:val="header"/>
    <w:basedOn w:val="a0"/>
    <w:link w:val="a5"/>
    <w:rsid w:val="00E032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E0325B"/>
    <w:rPr>
      <w:rFonts w:eastAsia="Calibri"/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rsid w:val="00E032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E0325B"/>
    <w:rPr>
      <w:rFonts w:eastAsia="Calibri"/>
      <w:sz w:val="28"/>
      <w:szCs w:val="22"/>
      <w:lang w:eastAsia="en-US"/>
    </w:rPr>
  </w:style>
  <w:style w:type="paragraph" w:styleId="a8">
    <w:name w:val="Balloon Text"/>
    <w:basedOn w:val="a0"/>
    <w:link w:val="a9"/>
    <w:rsid w:val="008A1446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8A1446"/>
    <w:rPr>
      <w:rFonts w:ascii="Tahoma" w:eastAsia="Calibri" w:hAnsi="Tahoma" w:cs="Tahoma"/>
      <w:sz w:val="16"/>
      <w:szCs w:val="16"/>
      <w:lang w:eastAsia="en-US"/>
    </w:rPr>
  </w:style>
  <w:style w:type="paragraph" w:customStyle="1" w:styleId="aa">
    <w:name w:val="Таблицы (моноширинный)"/>
    <w:basedOn w:val="a0"/>
    <w:next w:val="a0"/>
    <w:rsid w:val="00D21857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0"/>
    <w:link w:val="ac"/>
    <w:rsid w:val="00D21857"/>
    <w:pPr>
      <w:spacing w:after="0"/>
      <w:jc w:val="left"/>
    </w:pPr>
    <w:rPr>
      <w:rFonts w:eastAsia="Times New Roman"/>
      <w:szCs w:val="20"/>
      <w:lang w:val="x-none" w:eastAsia="x-none"/>
    </w:rPr>
  </w:style>
  <w:style w:type="character" w:customStyle="1" w:styleId="ac">
    <w:name w:val="Основной текст Знак"/>
    <w:basedOn w:val="a1"/>
    <w:link w:val="ab"/>
    <w:rsid w:val="00D21857"/>
    <w:rPr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3B64"/>
    <w:pPr>
      <w:spacing w:after="60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13B64"/>
    <w:pPr>
      <w:keepNext/>
      <w:keepLines/>
      <w:spacing w:before="240" w:after="120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C13B64"/>
    <w:pPr>
      <w:keepNext/>
      <w:keepLines/>
      <w:spacing w:before="240"/>
      <w:outlineLvl w:val="1"/>
    </w:pPr>
    <w:rPr>
      <w:rFonts w:eastAsia="Times New Roman"/>
      <w:b/>
      <w:bCs/>
      <w:i/>
      <w:szCs w:val="26"/>
      <w:lang w:val="x-none" w:eastAsia="x-none"/>
    </w:rPr>
  </w:style>
  <w:style w:type="paragraph" w:styleId="3">
    <w:name w:val="heading 3"/>
    <w:basedOn w:val="a0"/>
    <w:next w:val="a0"/>
    <w:link w:val="30"/>
    <w:qFormat/>
    <w:rsid w:val="00C13B64"/>
    <w:pPr>
      <w:autoSpaceDE w:val="0"/>
      <w:autoSpaceDN w:val="0"/>
      <w:adjustRightInd w:val="0"/>
      <w:spacing w:before="240" w:after="0" w:line="269" w:lineRule="exact"/>
      <w:outlineLvl w:val="2"/>
    </w:pPr>
    <w:rPr>
      <w:rFonts w:eastAsia="Times New Roman"/>
      <w:i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B64"/>
    <w:rPr>
      <w:b/>
      <w:bCs/>
      <w:sz w:val="28"/>
      <w:szCs w:val="28"/>
      <w:lang w:val="x-none" w:eastAsia="x-none" w:bidi="ar-SA"/>
    </w:rPr>
  </w:style>
  <w:style w:type="character" w:customStyle="1" w:styleId="20">
    <w:name w:val="Заголовок 2 Знак"/>
    <w:link w:val="2"/>
    <w:rsid w:val="00C13B64"/>
    <w:rPr>
      <w:b/>
      <w:bCs/>
      <w:i/>
      <w:sz w:val="28"/>
      <w:szCs w:val="26"/>
      <w:lang w:val="x-none" w:eastAsia="x-none" w:bidi="ar-SA"/>
    </w:rPr>
  </w:style>
  <w:style w:type="character" w:customStyle="1" w:styleId="30">
    <w:name w:val="Заголовок 3 Знак"/>
    <w:link w:val="3"/>
    <w:rsid w:val="00C13B64"/>
    <w:rPr>
      <w:i/>
      <w:sz w:val="28"/>
      <w:szCs w:val="24"/>
      <w:lang w:val="x-none" w:eastAsia="ru-RU" w:bidi="ar-SA"/>
    </w:rPr>
  </w:style>
  <w:style w:type="paragraph" w:styleId="a">
    <w:name w:val="List Bullet"/>
    <w:basedOn w:val="a0"/>
    <w:rsid w:val="00C13B64"/>
    <w:pPr>
      <w:numPr>
        <w:numId w:val="1"/>
      </w:numPr>
      <w:contextualSpacing/>
    </w:pPr>
  </w:style>
  <w:style w:type="character" w:customStyle="1" w:styleId="s7">
    <w:name w:val="s7"/>
    <w:basedOn w:val="a1"/>
    <w:rsid w:val="00C13B64"/>
  </w:style>
  <w:style w:type="paragraph" w:styleId="a4">
    <w:name w:val="header"/>
    <w:basedOn w:val="a0"/>
    <w:link w:val="a5"/>
    <w:rsid w:val="00E032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E0325B"/>
    <w:rPr>
      <w:rFonts w:eastAsia="Calibri"/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rsid w:val="00E032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E0325B"/>
    <w:rPr>
      <w:rFonts w:eastAsia="Calibri"/>
      <w:sz w:val="28"/>
      <w:szCs w:val="22"/>
      <w:lang w:eastAsia="en-US"/>
    </w:rPr>
  </w:style>
  <w:style w:type="paragraph" w:styleId="a8">
    <w:name w:val="Balloon Text"/>
    <w:basedOn w:val="a0"/>
    <w:link w:val="a9"/>
    <w:rsid w:val="008A1446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8A1446"/>
    <w:rPr>
      <w:rFonts w:ascii="Tahoma" w:eastAsia="Calibri" w:hAnsi="Tahoma" w:cs="Tahoma"/>
      <w:sz w:val="16"/>
      <w:szCs w:val="16"/>
      <w:lang w:eastAsia="en-US"/>
    </w:rPr>
  </w:style>
  <w:style w:type="paragraph" w:customStyle="1" w:styleId="aa">
    <w:name w:val="Таблицы (моноширинный)"/>
    <w:basedOn w:val="a0"/>
    <w:next w:val="a0"/>
    <w:rsid w:val="00D21857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0"/>
    <w:link w:val="ac"/>
    <w:rsid w:val="00D21857"/>
    <w:pPr>
      <w:spacing w:after="0"/>
      <w:jc w:val="left"/>
    </w:pPr>
    <w:rPr>
      <w:rFonts w:eastAsia="Times New Roman"/>
      <w:szCs w:val="20"/>
      <w:lang w:val="x-none" w:eastAsia="x-none"/>
    </w:rPr>
  </w:style>
  <w:style w:type="character" w:customStyle="1" w:styleId="ac">
    <w:name w:val="Основной текст Знак"/>
    <w:basedOn w:val="a1"/>
    <w:link w:val="ab"/>
    <w:rsid w:val="00D21857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EB1B7-C82C-4D91-AA95-66167162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Microsoft</Company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subject/>
  <dc:creator>Admin</dc:creator>
  <cp:keywords/>
  <cp:lastModifiedBy>HP</cp:lastModifiedBy>
  <cp:revision>8</cp:revision>
  <cp:lastPrinted>2014-07-04T13:23:00Z</cp:lastPrinted>
  <dcterms:created xsi:type="dcterms:W3CDTF">2017-11-17T13:08:00Z</dcterms:created>
  <dcterms:modified xsi:type="dcterms:W3CDTF">2020-06-17T10:38:00Z</dcterms:modified>
</cp:coreProperties>
</file>