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A821" w14:textId="77777777" w:rsidR="00BF4EF8" w:rsidRDefault="005D6542" w:rsidP="00866EA6">
      <w:pPr>
        <w:pStyle w:val="Default"/>
        <w:suppressAutoHyphens/>
        <w:spacing w:line="360" w:lineRule="auto"/>
        <w:contextualSpacing/>
        <w:jc w:val="center"/>
        <w:rPr>
          <w:bCs/>
        </w:rPr>
      </w:pPr>
      <w:r w:rsidRPr="009A5BCD">
        <w:rPr>
          <w:bCs/>
        </w:rPr>
        <w:t>ИНСТРУКЦИЯ</w:t>
      </w:r>
      <w:r w:rsidR="001F6F88" w:rsidRPr="009A5BCD">
        <w:rPr>
          <w:bCs/>
        </w:rPr>
        <w:t xml:space="preserve"> ПО МЕДИЦИНСКОМУ ПРИМЕНЕНИЮ ЛЕКАРСТВЕННОГО ПРЕПАРАТА</w:t>
      </w:r>
    </w:p>
    <w:p w14:paraId="68B2E0A3" w14:textId="7FF86A1B" w:rsidR="005D6542" w:rsidRDefault="00E046CF" w:rsidP="00BF4EF8">
      <w:pPr>
        <w:pStyle w:val="Default"/>
        <w:spacing w:line="360" w:lineRule="auto"/>
        <w:contextualSpacing/>
        <w:jc w:val="center"/>
        <w:rPr>
          <w:rFonts w:eastAsia="Times New Roman"/>
          <w:noProof/>
          <w:color w:val="auto"/>
          <w:lang w:eastAsia="ru-RU"/>
        </w:rPr>
      </w:pPr>
      <w:r>
        <w:rPr>
          <w:rFonts w:eastAsia="Times New Roman"/>
          <w:noProof/>
          <w:color w:val="auto"/>
          <w:lang w:eastAsia="ru-RU"/>
        </w:rPr>
        <w:t>Би-Коден</w:t>
      </w:r>
      <w:r w:rsidR="00DB16A6" w:rsidRPr="00DB16A6">
        <w:rPr>
          <w:rFonts w:eastAsia="Times New Roman"/>
          <w:noProof/>
          <w:color w:val="auto"/>
          <w:vertAlign w:val="superscript"/>
          <w:lang w:eastAsia="ru-RU"/>
        </w:rPr>
        <w:t>®</w:t>
      </w:r>
    </w:p>
    <w:p w14:paraId="3160C793" w14:textId="77777777" w:rsidR="00A400CC" w:rsidRPr="009A5BCD" w:rsidRDefault="00A400CC" w:rsidP="00BF4EF8">
      <w:pPr>
        <w:pStyle w:val="Default"/>
        <w:spacing w:line="360" w:lineRule="auto"/>
        <w:contextualSpacing/>
        <w:jc w:val="center"/>
        <w:rPr>
          <w:rFonts w:eastAsia="Times New Roman"/>
          <w:b/>
          <w:noProof/>
          <w:color w:val="auto"/>
          <w:lang w:eastAsia="ru-RU"/>
        </w:rPr>
      </w:pPr>
    </w:p>
    <w:p w14:paraId="68D51DA1" w14:textId="77777777" w:rsidR="005D6542" w:rsidRPr="009A5BCD" w:rsidRDefault="005D6542" w:rsidP="00BF4EF8">
      <w:pPr>
        <w:pStyle w:val="Default"/>
        <w:spacing w:line="360" w:lineRule="auto"/>
        <w:contextualSpacing/>
        <w:jc w:val="both"/>
        <w:rPr>
          <w:color w:val="auto"/>
        </w:rPr>
      </w:pPr>
      <w:r w:rsidRPr="009A5BCD">
        <w:rPr>
          <w:b/>
          <w:bCs/>
          <w:color w:val="auto"/>
        </w:rPr>
        <w:t xml:space="preserve">Регистрационный номер: </w:t>
      </w:r>
    </w:p>
    <w:p w14:paraId="52DE916A" w14:textId="159D10FF" w:rsidR="005D6542" w:rsidRPr="000B13C0" w:rsidRDefault="005D6542" w:rsidP="00BF4EF8">
      <w:pPr>
        <w:pStyle w:val="Default"/>
        <w:spacing w:line="360" w:lineRule="auto"/>
        <w:contextualSpacing/>
        <w:jc w:val="both"/>
        <w:rPr>
          <w:color w:val="auto"/>
        </w:rPr>
      </w:pPr>
      <w:r w:rsidRPr="009A5BCD">
        <w:rPr>
          <w:b/>
          <w:bCs/>
          <w:color w:val="auto"/>
        </w:rPr>
        <w:t xml:space="preserve">Торговое </w:t>
      </w:r>
      <w:r w:rsidR="00F5626F" w:rsidRPr="009A5BCD">
        <w:rPr>
          <w:b/>
          <w:bCs/>
          <w:color w:val="auto"/>
        </w:rPr>
        <w:t>наименование</w:t>
      </w:r>
      <w:r w:rsidRPr="009A5BCD">
        <w:rPr>
          <w:b/>
          <w:bCs/>
          <w:color w:val="auto"/>
        </w:rPr>
        <w:t xml:space="preserve">: </w:t>
      </w:r>
      <w:r w:rsidR="00E046CF">
        <w:rPr>
          <w:bCs/>
          <w:color w:val="auto"/>
        </w:rPr>
        <w:t>Би-Коден</w:t>
      </w:r>
      <w:r w:rsidR="00DB16A6" w:rsidRPr="00DB16A6">
        <w:rPr>
          <w:bCs/>
          <w:color w:val="auto"/>
          <w:vertAlign w:val="superscript"/>
        </w:rPr>
        <w:t>®</w:t>
      </w:r>
    </w:p>
    <w:p w14:paraId="3F7D66E0" w14:textId="77777777" w:rsidR="005D6542" w:rsidRPr="009A5BCD" w:rsidRDefault="00BF4EF8" w:rsidP="00BF4EF8">
      <w:pPr>
        <w:pStyle w:val="Default"/>
        <w:spacing w:line="360" w:lineRule="auto"/>
        <w:contextualSpacing/>
        <w:jc w:val="both"/>
        <w:rPr>
          <w:color w:val="auto"/>
        </w:rPr>
      </w:pPr>
      <w:r w:rsidRPr="00BF4EF8">
        <w:rPr>
          <w:b/>
          <w:color w:val="auto"/>
        </w:rPr>
        <w:t>Группировочное наименование:</w:t>
      </w:r>
      <w:r w:rsidR="00B05119" w:rsidRPr="009A5BCD">
        <w:rPr>
          <w:b/>
          <w:color w:val="auto"/>
        </w:rPr>
        <w:t xml:space="preserve"> </w:t>
      </w:r>
      <w:r w:rsidRPr="00BF4EF8">
        <w:rPr>
          <w:color w:val="auto"/>
        </w:rPr>
        <w:t>Алгелдрат+Магния гидроксид</w:t>
      </w:r>
    </w:p>
    <w:p w14:paraId="48E07145" w14:textId="77777777" w:rsidR="005D6542" w:rsidRPr="009A5BCD" w:rsidRDefault="005D6542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 xml:space="preserve">Лекарственная форма: </w:t>
      </w:r>
      <w:r w:rsidR="00F01421" w:rsidRPr="009A5BCD">
        <w:rPr>
          <w:bCs/>
          <w:sz w:val="24"/>
          <w:szCs w:val="24"/>
        </w:rPr>
        <w:t>суспензия для приема внутрь</w:t>
      </w:r>
    </w:p>
    <w:p w14:paraId="6566525C" w14:textId="77777777" w:rsidR="00DB16A6" w:rsidRPr="00DB16A6" w:rsidRDefault="00DB16A6" w:rsidP="00DB16A6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DB16A6">
        <w:rPr>
          <w:b/>
          <w:bCs/>
          <w:sz w:val="24"/>
          <w:szCs w:val="24"/>
        </w:rPr>
        <w:t>Состав (на 1 пакетик / 100 мл):</w:t>
      </w:r>
    </w:p>
    <w:p w14:paraId="21727BA6" w14:textId="66669D7D" w:rsidR="00DB16A6" w:rsidRPr="00DB16A6" w:rsidRDefault="00DB16A6" w:rsidP="00DB16A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B16A6">
        <w:rPr>
          <w:bCs/>
          <w:i/>
          <w:sz w:val="24"/>
          <w:szCs w:val="24"/>
        </w:rPr>
        <w:t>Действующие вещества</w:t>
      </w:r>
      <w:r w:rsidRPr="00DB16A6">
        <w:rPr>
          <w:bCs/>
          <w:sz w:val="24"/>
          <w:szCs w:val="24"/>
        </w:rPr>
        <w:t>: алюминия гидроксид – 0,656 г / 4,375 г (в пересчете на Al(OH)</w:t>
      </w:r>
      <w:r w:rsidRPr="00DB16A6">
        <w:rPr>
          <w:bCs/>
          <w:sz w:val="24"/>
          <w:szCs w:val="24"/>
          <w:vertAlign w:val="subscript"/>
        </w:rPr>
        <w:t>3</w:t>
      </w:r>
      <w:r w:rsidRPr="00DB16A6">
        <w:rPr>
          <w:bCs/>
          <w:sz w:val="24"/>
          <w:szCs w:val="24"/>
        </w:rPr>
        <w:t xml:space="preserve"> – 0,525 г / 3,5 г); магния гидроксид</w:t>
      </w:r>
      <w:r w:rsidR="008A54AD">
        <w:rPr>
          <w:bCs/>
          <w:sz w:val="24"/>
          <w:szCs w:val="24"/>
        </w:rPr>
        <w:t xml:space="preserve"> (в пересчете на 100 % вещество)</w:t>
      </w:r>
      <w:r w:rsidRPr="00DB16A6">
        <w:rPr>
          <w:bCs/>
          <w:sz w:val="24"/>
          <w:szCs w:val="24"/>
        </w:rPr>
        <w:t xml:space="preserve"> – 0,600 г / 4,0 г.</w:t>
      </w:r>
    </w:p>
    <w:p w14:paraId="3FFE5C2E" w14:textId="36DC569E" w:rsidR="00BF4EF8" w:rsidRDefault="00DB16A6" w:rsidP="00DB16A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B16A6">
        <w:rPr>
          <w:bCs/>
          <w:i/>
          <w:sz w:val="24"/>
          <w:szCs w:val="24"/>
        </w:rPr>
        <w:t>Вспомогательные вещества</w:t>
      </w:r>
      <w:r w:rsidRPr="00DB16A6">
        <w:rPr>
          <w:bCs/>
          <w:sz w:val="24"/>
          <w:szCs w:val="24"/>
        </w:rPr>
        <w:t xml:space="preserve">: глицерол, сорбитол, </w:t>
      </w:r>
      <w:r w:rsidR="00E046CF">
        <w:rPr>
          <w:bCs/>
          <w:sz w:val="24"/>
          <w:szCs w:val="24"/>
        </w:rPr>
        <w:t>кремния диоксид коллоидный</w:t>
      </w:r>
      <w:r w:rsidRPr="00DB16A6">
        <w:rPr>
          <w:bCs/>
          <w:sz w:val="24"/>
          <w:szCs w:val="24"/>
        </w:rPr>
        <w:t xml:space="preserve">, </w:t>
      </w:r>
      <w:r w:rsidR="008A54AD">
        <w:rPr>
          <w:bCs/>
          <w:sz w:val="24"/>
          <w:szCs w:val="24"/>
        </w:rPr>
        <w:t>метилпарагидроксибензоат</w:t>
      </w:r>
      <w:r w:rsidRPr="00DB16A6">
        <w:rPr>
          <w:bCs/>
          <w:sz w:val="24"/>
          <w:szCs w:val="24"/>
        </w:rPr>
        <w:t>, пропилпара</w:t>
      </w:r>
      <w:r w:rsidR="008A54AD">
        <w:rPr>
          <w:bCs/>
          <w:sz w:val="24"/>
          <w:szCs w:val="24"/>
        </w:rPr>
        <w:t>гидрокси</w:t>
      </w:r>
      <w:r w:rsidRPr="00DB16A6">
        <w:rPr>
          <w:bCs/>
          <w:sz w:val="24"/>
          <w:szCs w:val="24"/>
        </w:rPr>
        <w:t>бен</w:t>
      </w:r>
      <w:r w:rsidR="008A54AD">
        <w:rPr>
          <w:bCs/>
          <w:sz w:val="24"/>
          <w:szCs w:val="24"/>
        </w:rPr>
        <w:t>зоат</w:t>
      </w:r>
      <w:r w:rsidRPr="00DB16A6">
        <w:rPr>
          <w:bCs/>
          <w:sz w:val="24"/>
          <w:szCs w:val="24"/>
        </w:rPr>
        <w:t xml:space="preserve">, гидроксипропилметилцеллюлоза, ароматизатор </w:t>
      </w:r>
      <w:r w:rsidR="00E046CF">
        <w:rPr>
          <w:bCs/>
          <w:sz w:val="24"/>
          <w:szCs w:val="24"/>
        </w:rPr>
        <w:t>«М</w:t>
      </w:r>
      <w:r w:rsidRPr="00DB16A6">
        <w:rPr>
          <w:bCs/>
          <w:sz w:val="24"/>
          <w:szCs w:val="24"/>
        </w:rPr>
        <w:t>ята</w:t>
      </w:r>
      <w:r w:rsidR="00E046CF">
        <w:rPr>
          <w:bCs/>
          <w:sz w:val="24"/>
          <w:szCs w:val="24"/>
        </w:rPr>
        <w:t>»</w:t>
      </w:r>
      <w:r w:rsidRPr="00DB16A6">
        <w:rPr>
          <w:bCs/>
          <w:sz w:val="24"/>
          <w:szCs w:val="24"/>
        </w:rPr>
        <w:t>, лимонной кислоты моногидрат, вода очищенная.</w:t>
      </w:r>
    </w:p>
    <w:p w14:paraId="1C23387D" w14:textId="77777777" w:rsidR="00B05119" w:rsidRPr="009A5BCD" w:rsidRDefault="00B05119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Описание:</w:t>
      </w:r>
      <w:r w:rsidRPr="009A5BCD">
        <w:rPr>
          <w:bCs/>
          <w:sz w:val="24"/>
          <w:szCs w:val="24"/>
        </w:rPr>
        <w:t xml:space="preserve"> </w:t>
      </w:r>
      <w:r w:rsidR="00BF4EF8" w:rsidRPr="00BF4EF8">
        <w:rPr>
          <w:rFonts w:eastAsia="Times New Roman"/>
          <w:sz w:val="24"/>
          <w:szCs w:val="24"/>
          <w:lang w:eastAsia="ru-RU"/>
        </w:rPr>
        <w:t>суспензия белого цвета с характерным запахом</w:t>
      </w:r>
      <w:r w:rsidR="00DB16A6">
        <w:rPr>
          <w:rFonts w:eastAsia="Times New Roman"/>
          <w:sz w:val="24"/>
          <w:szCs w:val="24"/>
          <w:lang w:eastAsia="ru-RU"/>
        </w:rPr>
        <w:t xml:space="preserve"> мяты</w:t>
      </w:r>
      <w:r w:rsidR="00BF4EF8" w:rsidRPr="00BF4EF8">
        <w:rPr>
          <w:rFonts w:eastAsia="Times New Roman"/>
          <w:sz w:val="24"/>
          <w:szCs w:val="24"/>
          <w:lang w:eastAsia="ru-RU"/>
        </w:rPr>
        <w:t>. Допускается оседание частиц суспензии при хранении.</w:t>
      </w:r>
    </w:p>
    <w:p w14:paraId="0E3ADCD8" w14:textId="77777777" w:rsidR="00B05119" w:rsidRPr="009A5BCD" w:rsidRDefault="00B05119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Фармакотерапевтическая группа:</w:t>
      </w:r>
      <w:r w:rsidRPr="009A5BCD">
        <w:rPr>
          <w:bCs/>
          <w:sz w:val="24"/>
          <w:szCs w:val="24"/>
        </w:rPr>
        <w:t xml:space="preserve"> </w:t>
      </w:r>
      <w:r w:rsidR="00B10072" w:rsidRPr="00B10072">
        <w:rPr>
          <w:bCs/>
          <w:sz w:val="24"/>
          <w:szCs w:val="24"/>
        </w:rPr>
        <w:t>антацидное средство</w:t>
      </w:r>
      <w:r w:rsidR="00B10072">
        <w:rPr>
          <w:bCs/>
          <w:sz w:val="24"/>
          <w:szCs w:val="24"/>
        </w:rPr>
        <w:t>.</w:t>
      </w:r>
    </w:p>
    <w:p w14:paraId="0336FE40" w14:textId="04289CED" w:rsidR="00B10072" w:rsidRDefault="00B05119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Код АТХ:</w:t>
      </w:r>
      <w:r w:rsidR="00B10072">
        <w:rPr>
          <w:bCs/>
          <w:sz w:val="24"/>
          <w:szCs w:val="24"/>
        </w:rPr>
        <w:t xml:space="preserve"> </w:t>
      </w:r>
      <w:r w:rsidR="00643BC0">
        <w:rPr>
          <w:bCs/>
          <w:sz w:val="24"/>
          <w:szCs w:val="24"/>
          <w:lang w:val="en-US"/>
        </w:rPr>
        <w:t>A</w:t>
      </w:r>
      <w:r w:rsidR="00643BC0" w:rsidRPr="00312ED3">
        <w:rPr>
          <w:bCs/>
          <w:sz w:val="24"/>
          <w:szCs w:val="24"/>
        </w:rPr>
        <w:t>02</w:t>
      </w:r>
      <w:r w:rsidR="00643BC0">
        <w:rPr>
          <w:bCs/>
          <w:sz w:val="24"/>
          <w:szCs w:val="24"/>
          <w:lang w:val="en-US"/>
        </w:rPr>
        <w:t>AX</w:t>
      </w:r>
      <w:r w:rsidR="00B10072">
        <w:rPr>
          <w:bCs/>
          <w:sz w:val="24"/>
          <w:szCs w:val="24"/>
        </w:rPr>
        <w:t>.</w:t>
      </w:r>
    </w:p>
    <w:p w14:paraId="6FC47E11" w14:textId="77777777" w:rsidR="0093640D" w:rsidRPr="0093640D" w:rsidRDefault="0093640D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3640D">
        <w:rPr>
          <w:b/>
          <w:bCs/>
          <w:sz w:val="24"/>
          <w:szCs w:val="24"/>
        </w:rPr>
        <w:t>Фармакологические свойства</w:t>
      </w:r>
    </w:p>
    <w:p w14:paraId="60254172" w14:textId="77777777" w:rsidR="0093640D" w:rsidRPr="0093640D" w:rsidRDefault="0093640D" w:rsidP="00BF4EF8">
      <w:pPr>
        <w:spacing w:after="0" w:line="360" w:lineRule="auto"/>
        <w:contextualSpacing/>
        <w:jc w:val="both"/>
        <w:rPr>
          <w:b/>
          <w:bCs/>
          <w:i/>
          <w:sz w:val="24"/>
          <w:szCs w:val="24"/>
        </w:rPr>
      </w:pPr>
      <w:r w:rsidRPr="0093640D">
        <w:rPr>
          <w:b/>
          <w:bCs/>
          <w:i/>
          <w:sz w:val="24"/>
          <w:szCs w:val="24"/>
        </w:rPr>
        <w:t>Фармакодинамика</w:t>
      </w:r>
    </w:p>
    <w:p w14:paraId="104C9925" w14:textId="3257D03A" w:rsidR="00B10072" w:rsidRPr="00B10072" w:rsidRDefault="00B10072" w:rsidP="00B1007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B10072">
        <w:rPr>
          <w:bCs/>
          <w:sz w:val="24"/>
          <w:szCs w:val="24"/>
        </w:rPr>
        <w:t xml:space="preserve">Препарат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B1007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Pr="00B10072">
        <w:rPr>
          <w:bCs/>
          <w:sz w:val="24"/>
          <w:szCs w:val="24"/>
        </w:rPr>
        <w:t xml:space="preserve"> антацидный препарат, в состав которого входят алюминия гидроксид и магния гидроксид, которые связывают соляную кислоту в желудке и создают защитный слой, механически защищающий клетки слизистой оболочки желудка, не вызывая ее вторичной гиперсекреции.</w:t>
      </w:r>
    </w:p>
    <w:p w14:paraId="659BD50A" w14:textId="69D22C2B" w:rsidR="0093640D" w:rsidRPr="0093640D" w:rsidRDefault="00B10072" w:rsidP="00B1007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B10072">
        <w:rPr>
          <w:bCs/>
          <w:sz w:val="24"/>
          <w:szCs w:val="24"/>
        </w:rPr>
        <w:t xml:space="preserve">Препарат снижает кислотность желудочного сока, а также повышает рН в желудке, инактивирует пепсин и снижает его активность. Препарат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B10072">
        <w:rPr>
          <w:bCs/>
          <w:sz w:val="24"/>
          <w:szCs w:val="24"/>
        </w:rPr>
        <w:t xml:space="preserve"> подавляет действие пепсина, лизолецитина и желчных кислот, устраняет диспептические явления. Усиливает защитные и регенеративные процессы в слизистой оболочке желудка. Цитопротективное действие ионов алюминия включает в себя: повышение секреции муцина и натрия гидрокарбоната, активацию продукции простагландина </w:t>
      </w:r>
      <w:r w:rsidR="007E5406">
        <w:rPr>
          <w:bCs/>
          <w:sz w:val="24"/>
          <w:szCs w:val="24"/>
        </w:rPr>
        <w:t>Е2</w:t>
      </w:r>
      <w:r w:rsidRPr="00B10072">
        <w:rPr>
          <w:bCs/>
          <w:sz w:val="24"/>
          <w:szCs w:val="24"/>
        </w:rPr>
        <w:t xml:space="preserve"> и оксида азота (</w:t>
      </w:r>
      <w:r w:rsidR="007E5406">
        <w:rPr>
          <w:bCs/>
          <w:sz w:val="24"/>
          <w:szCs w:val="24"/>
          <w:lang w:val="en-US"/>
        </w:rPr>
        <w:t>NO</w:t>
      </w:r>
      <w:r w:rsidRPr="00B10072">
        <w:rPr>
          <w:bCs/>
          <w:sz w:val="24"/>
          <w:szCs w:val="24"/>
        </w:rPr>
        <w:t>), накопление эпидермального фактора роста в местах повреждения слизистой оболочки, повышение концентрации фосфолипидов в стенке желудка. Механизм этого</w:t>
      </w:r>
      <w:r w:rsidR="007E5406">
        <w:rPr>
          <w:bCs/>
          <w:sz w:val="24"/>
          <w:szCs w:val="24"/>
        </w:rPr>
        <w:t xml:space="preserve"> </w:t>
      </w:r>
      <w:r w:rsidR="007E5406" w:rsidRPr="007E5406">
        <w:rPr>
          <w:bCs/>
          <w:sz w:val="24"/>
          <w:szCs w:val="24"/>
        </w:rPr>
        <w:t>действия до конца не известен. Препарат обладает также адсорбирующими и обволакивающими свойствами, благодаря которым уменьшается воздействие повреждающих факторов на слизистую оболочку пищевода и желудка.</w:t>
      </w:r>
    </w:p>
    <w:p w14:paraId="2648CE1B" w14:textId="77777777" w:rsidR="0093640D" w:rsidRDefault="0093640D" w:rsidP="007E5406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3640D">
        <w:rPr>
          <w:b/>
          <w:bCs/>
          <w:i/>
          <w:sz w:val="24"/>
          <w:szCs w:val="24"/>
        </w:rPr>
        <w:lastRenderedPageBreak/>
        <w:t>Фармакокинетика</w:t>
      </w:r>
    </w:p>
    <w:p w14:paraId="5217A3BF" w14:textId="703155BF" w:rsidR="0093640D" w:rsidRPr="007E5406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E5406">
        <w:rPr>
          <w:bCs/>
          <w:sz w:val="24"/>
          <w:szCs w:val="24"/>
        </w:rPr>
        <w:t>Магния гидроксид и алюминия гидроксид представляют собой</w:t>
      </w:r>
      <w:r>
        <w:rPr>
          <w:bCs/>
          <w:sz w:val="24"/>
          <w:szCs w:val="24"/>
        </w:rPr>
        <w:t xml:space="preserve"> </w:t>
      </w:r>
      <w:r w:rsidRPr="007E5406">
        <w:rPr>
          <w:bCs/>
          <w:sz w:val="24"/>
          <w:szCs w:val="24"/>
        </w:rPr>
        <w:t>антациды</w:t>
      </w:r>
      <w:r>
        <w:rPr>
          <w:bCs/>
          <w:sz w:val="24"/>
          <w:szCs w:val="24"/>
        </w:rPr>
        <w:t xml:space="preserve"> </w:t>
      </w:r>
      <w:r w:rsidRPr="007E5406">
        <w:rPr>
          <w:bCs/>
          <w:sz w:val="24"/>
          <w:szCs w:val="24"/>
        </w:rPr>
        <w:t xml:space="preserve">преимущественно местного действия и из-за низкой абсорбции не оказывают системного действия. Как и большинство других антацидов, препарат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7E5406">
        <w:rPr>
          <w:bCs/>
          <w:sz w:val="24"/>
          <w:szCs w:val="24"/>
        </w:rPr>
        <w:t xml:space="preserve"> эвакуируется из желудка в течение 1</w:t>
      </w:r>
      <w:r w:rsidR="00866EA6">
        <w:rPr>
          <w:bCs/>
          <w:sz w:val="24"/>
          <w:szCs w:val="24"/>
        </w:rPr>
        <w:t> </w:t>
      </w:r>
      <w:r w:rsidRPr="007E5406">
        <w:rPr>
          <w:bCs/>
          <w:sz w:val="24"/>
          <w:szCs w:val="24"/>
        </w:rPr>
        <w:t xml:space="preserve">часа после приема внутрь. Развитие клинического эффекта наступает в течение нескольких минут. Если препарат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7E5406">
        <w:rPr>
          <w:bCs/>
          <w:sz w:val="24"/>
          <w:szCs w:val="24"/>
        </w:rPr>
        <w:t xml:space="preserve"> применяют через 1 час после еды, нейтрализующий эффект сохраняется более 3 часов. Выводится почками и через кишечник.</w:t>
      </w:r>
      <w:r w:rsidR="0093640D" w:rsidRPr="007E5406">
        <w:rPr>
          <w:bCs/>
          <w:sz w:val="24"/>
          <w:szCs w:val="24"/>
        </w:rPr>
        <w:t xml:space="preserve"> </w:t>
      </w:r>
    </w:p>
    <w:p w14:paraId="6FF1AA3B" w14:textId="77777777" w:rsidR="009F5443" w:rsidRPr="009A5BCD" w:rsidRDefault="009F5443" w:rsidP="007E5406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A63609">
        <w:rPr>
          <w:b/>
          <w:bCs/>
          <w:sz w:val="24"/>
          <w:szCs w:val="24"/>
        </w:rPr>
        <w:t>Показания к применению</w:t>
      </w:r>
      <w:r w:rsidRPr="009A5BCD">
        <w:rPr>
          <w:b/>
          <w:bCs/>
          <w:sz w:val="24"/>
          <w:szCs w:val="24"/>
        </w:rPr>
        <w:t xml:space="preserve"> </w:t>
      </w:r>
    </w:p>
    <w:p w14:paraId="251C7D17" w14:textId="77777777" w:rsidR="007E5406" w:rsidRPr="007E5406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Pr="007E5406">
        <w:rPr>
          <w:bCs/>
          <w:sz w:val="24"/>
          <w:szCs w:val="24"/>
        </w:rPr>
        <w:t>Язвенная болезнь желудка и двенадцатиперстной кишки в фазе обострения.</w:t>
      </w:r>
    </w:p>
    <w:p w14:paraId="50F7A54F" w14:textId="77777777" w:rsidR="007E5406" w:rsidRPr="007E5406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E540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 </w:t>
      </w:r>
      <w:r w:rsidRPr="007E5406">
        <w:rPr>
          <w:bCs/>
          <w:sz w:val="24"/>
          <w:szCs w:val="24"/>
        </w:rPr>
        <w:t>Острый гастродуоденит, хронический гастродуоденит с нормальной или повышенной секреторной функцией в фазе обострения.</w:t>
      </w:r>
    </w:p>
    <w:p w14:paraId="478DAC41" w14:textId="77777777" w:rsidR="007E5406" w:rsidRPr="007E5406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E540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 </w:t>
      </w:r>
      <w:r w:rsidRPr="007E5406">
        <w:rPr>
          <w:bCs/>
          <w:sz w:val="24"/>
          <w:szCs w:val="24"/>
        </w:rPr>
        <w:t>Грыжа пищеводного отверстия диафрагмы, рефлюкс-эзофагит.</w:t>
      </w:r>
    </w:p>
    <w:p w14:paraId="21160A50" w14:textId="77777777" w:rsidR="007E5406" w:rsidRPr="007E5406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E540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 </w:t>
      </w:r>
      <w:r w:rsidRPr="007E5406">
        <w:rPr>
          <w:bCs/>
          <w:sz w:val="24"/>
          <w:szCs w:val="24"/>
        </w:rPr>
        <w:t>Диспептические явления, такие как дискомфорт, гастралгия, изжога (после избыточного употребления этанола, никотина, кофе, приема лекарственных средств, погрешностей в диете).</w:t>
      </w:r>
    </w:p>
    <w:p w14:paraId="65966A97" w14:textId="77777777" w:rsidR="0093640D" w:rsidRPr="0093640D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E540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 </w:t>
      </w:r>
      <w:r w:rsidRPr="007E5406">
        <w:rPr>
          <w:bCs/>
          <w:sz w:val="24"/>
          <w:szCs w:val="24"/>
        </w:rPr>
        <w:t>Дискомфорт или боли в эпигастрии, изжога, кислая отрыжка после погрешностей в диете, избыточного употребления алкоголя, кофе, никотина и т.п.</w:t>
      </w:r>
      <w:r w:rsidR="0093640D" w:rsidRPr="0093640D">
        <w:rPr>
          <w:bCs/>
          <w:sz w:val="24"/>
          <w:szCs w:val="24"/>
        </w:rPr>
        <w:t xml:space="preserve"> </w:t>
      </w:r>
    </w:p>
    <w:p w14:paraId="5684004A" w14:textId="77777777" w:rsidR="009F5443" w:rsidRPr="009A5BCD" w:rsidRDefault="009F5443" w:rsidP="007E5406">
      <w:pPr>
        <w:keepNext/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Противопоказания</w:t>
      </w:r>
    </w:p>
    <w:p w14:paraId="210C0421" w14:textId="77777777" w:rsidR="0093640D" w:rsidRPr="0093640D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E5406">
        <w:rPr>
          <w:bCs/>
          <w:sz w:val="24"/>
          <w:szCs w:val="24"/>
        </w:rPr>
        <w:t>Пов</w:t>
      </w:r>
      <w:r>
        <w:rPr>
          <w:bCs/>
          <w:sz w:val="24"/>
          <w:szCs w:val="24"/>
        </w:rPr>
        <w:t xml:space="preserve">ышенная </w:t>
      </w:r>
      <w:r w:rsidRPr="007E5406">
        <w:rPr>
          <w:bCs/>
          <w:sz w:val="24"/>
          <w:szCs w:val="24"/>
        </w:rPr>
        <w:t>чувствительность к действующим веществам и другим компонентам препарата; детский возраст до 15 лет; непереносимость фруктозы; дефицит сахаразы-изомальтазы; глюкозо-галактозная мальабсорбция; гипофосфатемия; тяжелая почечная</w:t>
      </w:r>
      <w:r>
        <w:rPr>
          <w:bCs/>
          <w:sz w:val="24"/>
          <w:szCs w:val="24"/>
        </w:rPr>
        <w:t xml:space="preserve"> </w:t>
      </w:r>
      <w:r w:rsidRPr="007E5406">
        <w:rPr>
          <w:bCs/>
          <w:sz w:val="24"/>
          <w:szCs w:val="24"/>
        </w:rPr>
        <w:t>недостаточность.</w:t>
      </w:r>
    </w:p>
    <w:p w14:paraId="65073962" w14:textId="77777777" w:rsidR="002811D3" w:rsidRPr="009A5BCD" w:rsidRDefault="002811D3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С осторожностью</w:t>
      </w:r>
    </w:p>
    <w:p w14:paraId="613144CF" w14:textId="77777777" w:rsidR="007E5406" w:rsidRPr="007E5406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E5406">
        <w:rPr>
          <w:bCs/>
          <w:sz w:val="24"/>
          <w:szCs w:val="24"/>
        </w:rPr>
        <w:t>Алюминия гидроксид может вызывать запор, передозировка солей магния может приводить к ослаблению кишечной перистальтики; у пациентов из группы повышенного риска (пациентов с почечной недостаточностью, лиц пожилого возраста) прием высоких доз препарата может вызывать или усугублять обструкцию кишечника и кишечную непроходимость.</w:t>
      </w:r>
    </w:p>
    <w:p w14:paraId="3A299BBB" w14:textId="77777777" w:rsidR="007E5406" w:rsidRPr="007E5406" w:rsidRDefault="007E5406" w:rsidP="007E5406">
      <w:pPr>
        <w:spacing w:after="0" w:line="360" w:lineRule="auto"/>
        <w:contextualSpacing/>
        <w:jc w:val="both"/>
        <w:rPr>
          <w:sz w:val="24"/>
          <w:szCs w:val="24"/>
        </w:rPr>
      </w:pPr>
      <w:r w:rsidRPr="007E5406">
        <w:rPr>
          <w:bCs/>
          <w:sz w:val="24"/>
          <w:szCs w:val="24"/>
        </w:rPr>
        <w:t>Из-за того, что алюминия гидроксид плохо всасывается в желудочно-кишечном тракте, у пациентов с нормальной почечной функцией системное воздействие препарата возникает редко. Длительное лечение, использование чрезмерно высоких доз препарата или же</w:t>
      </w:r>
      <w:r>
        <w:rPr>
          <w:bCs/>
          <w:sz w:val="24"/>
          <w:szCs w:val="24"/>
        </w:rPr>
        <w:t xml:space="preserve"> </w:t>
      </w:r>
      <w:r w:rsidRPr="007E5406">
        <w:rPr>
          <w:sz w:val="24"/>
          <w:szCs w:val="24"/>
        </w:rPr>
        <w:t xml:space="preserve">использование терапевтических доз препарата на фоне низкого поступления фосфатов с пищей могут привести к фосфатной недостаточности (из-за связывания алюминия с фосфатом), которая сопровождается усилением резорбции костной ткани и гиперкальциурией с риском развития остеомаляции. Лечение пациентов с риском развития фосфатной </w:t>
      </w:r>
      <w:r w:rsidRPr="007E5406">
        <w:rPr>
          <w:sz w:val="24"/>
          <w:szCs w:val="24"/>
        </w:rPr>
        <w:lastRenderedPageBreak/>
        <w:t>недостаточности или длительное применение препарата следует проводить под медицинским наблюдением.</w:t>
      </w:r>
    </w:p>
    <w:p w14:paraId="6948294D" w14:textId="77777777" w:rsidR="007E5406" w:rsidRPr="007E5406" w:rsidRDefault="007E5406" w:rsidP="007E5406">
      <w:pPr>
        <w:spacing w:after="0" w:line="360" w:lineRule="auto"/>
        <w:contextualSpacing/>
        <w:jc w:val="both"/>
        <w:rPr>
          <w:sz w:val="24"/>
          <w:szCs w:val="24"/>
        </w:rPr>
      </w:pPr>
      <w:r w:rsidRPr="007E5406">
        <w:rPr>
          <w:sz w:val="24"/>
          <w:szCs w:val="24"/>
        </w:rPr>
        <w:t>При почечной недостаточности при длительном приеме препарата возможно повышение концентраций магния и алюминия в плазме крови. У этих пациентов при длительном применении препарата в высоких дозах возможно развитие энцефалопатии</w:t>
      </w:r>
      <w:r>
        <w:rPr>
          <w:sz w:val="24"/>
          <w:szCs w:val="24"/>
        </w:rPr>
        <w:t>,</w:t>
      </w:r>
      <w:r w:rsidRPr="007E5406">
        <w:rPr>
          <w:sz w:val="24"/>
          <w:szCs w:val="24"/>
        </w:rPr>
        <w:t xml:space="preserve"> деменции</w:t>
      </w:r>
      <w:r>
        <w:rPr>
          <w:sz w:val="24"/>
          <w:szCs w:val="24"/>
        </w:rPr>
        <w:t>,</w:t>
      </w:r>
      <w:r w:rsidRPr="007E5406">
        <w:rPr>
          <w:sz w:val="24"/>
          <w:szCs w:val="24"/>
        </w:rPr>
        <w:t xml:space="preserve"> микроцитарной анемии или усугубление остеомаляции, вызванной диализом.</w:t>
      </w:r>
    </w:p>
    <w:p w14:paraId="10655D0C" w14:textId="77777777" w:rsidR="0093640D" w:rsidRPr="0093640D" w:rsidRDefault="007E5406" w:rsidP="007E5406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E5406">
        <w:rPr>
          <w:sz w:val="24"/>
          <w:szCs w:val="24"/>
        </w:rPr>
        <w:t>Препарат следует применять с осторожностью у пациентов с порфирией, находящихся на гемодиализе; при беременности и кормлении грудью (см. раздел «Применение при беременности и в период грудного вскармливания»); при болезни Альцгеймера.</w:t>
      </w:r>
    </w:p>
    <w:p w14:paraId="1BAF4252" w14:textId="77777777" w:rsidR="00F23323" w:rsidRDefault="003E2E9B" w:rsidP="00603372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5B6B87">
        <w:rPr>
          <w:b/>
          <w:bCs/>
          <w:sz w:val="24"/>
          <w:szCs w:val="24"/>
        </w:rPr>
        <w:t>Применение при беременности и в период грудного вскармливания</w:t>
      </w:r>
    </w:p>
    <w:p w14:paraId="2D8FF6AB" w14:textId="6DDC0B19" w:rsidR="00603372" w:rsidRPr="00603372" w:rsidRDefault="00603372" w:rsidP="0060337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603372">
        <w:rPr>
          <w:bCs/>
          <w:sz w:val="24"/>
          <w:szCs w:val="24"/>
        </w:rPr>
        <w:t xml:space="preserve">В экспериментальных условиях не получено четких указаний на наличие тератогенного эффекта у гидроксида алюминия и гидроксида магния. Не выявлено также специфических тератогенных эффектов при использовании препарата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603372">
        <w:rPr>
          <w:bCs/>
          <w:sz w:val="24"/>
          <w:szCs w:val="24"/>
        </w:rPr>
        <w:t xml:space="preserve"> во время беременности, однако, в связи с недостаточностью клинического опыта, его применение во время беременности возможно</w:t>
      </w:r>
      <w:r w:rsidR="007A405A">
        <w:rPr>
          <w:bCs/>
          <w:sz w:val="24"/>
          <w:szCs w:val="24"/>
        </w:rPr>
        <w:t>,</w:t>
      </w:r>
      <w:r w:rsidRPr="00603372">
        <w:rPr>
          <w:bCs/>
          <w:sz w:val="24"/>
          <w:szCs w:val="24"/>
        </w:rPr>
        <w:t xml:space="preserve"> только если потенциальная польза от его применения для матери оправдывает потенциальный риск для плода.</w:t>
      </w:r>
    </w:p>
    <w:p w14:paraId="06F6BE6A" w14:textId="0700F641" w:rsidR="00603372" w:rsidRDefault="00603372" w:rsidP="0060337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603372">
        <w:rPr>
          <w:bCs/>
          <w:sz w:val="24"/>
          <w:szCs w:val="24"/>
        </w:rPr>
        <w:t xml:space="preserve">При использовании согласно рекомендациям всасывание комбинаций алюминия гидроксида и солей магния у матери ограничено, поэтому признано, что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603372">
        <w:rPr>
          <w:bCs/>
          <w:sz w:val="24"/>
          <w:szCs w:val="24"/>
        </w:rPr>
        <w:t xml:space="preserve"> может применяться в период грудного вскармливания.</w:t>
      </w:r>
    </w:p>
    <w:p w14:paraId="7386691B" w14:textId="77777777" w:rsidR="00D2556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/>
          <w:bCs/>
          <w:sz w:val="24"/>
          <w:szCs w:val="24"/>
        </w:rPr>
        <w:t>Способ применения и дозы</w:t>
      </w:r>
    </w:p>
    <w:p w14:paraId="067B1451" w14:textId="77777777" w:rsidR="00D2556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sz w:val="24"/>
          <w:szCs w:val="24"/>
        </w:rPr>
        <w:t>Внутрь. Перед применением флакон следует встряхнуть, а содержимое пакетика следует гомогенизировать, тщательно разминая его между пальцами. Содержимое пакетика принимается в нерастворенном виде.</w:t>
      </w:r>
    </w:p>
    <w:p w14:paraId="14D47748" w14:textId="0F175FB2" w:rsidR="004E1AA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i/>
          <w:sz w:val="24"/>
          <w:szCs w:val="24"/>
        </w:rPr>
        <w:t xml:space="preserve">Взрослые и </w:t>
      </w:r>
      <w:r w:rsidR="00003085">
        <w:rPr>
          <w:bCs/>
          <w:i/>
          <w:sz w:val="24"/>
          <w:szCs w:val="24"/>
        </w:rPr>
        <w:t xml:space="preserve">дети от </w:t>
      </w:r>
      <w:r w:rsidRPr="00D25568">
        <w:rPr>
          <w:bCs/>
          <w:i/>
          <w:sz w:val="24"/>
          <w:szCs w:val="24"/>
        </w:rPr>
        <w:t xml:space="preserve">15 </w:t>
      </w:r>
      <w:r w:rsidR="00003085">
        <w:rPr>
          <w:bCs/>
          <w:i/>
          <w:sz w:val="24"/>
          <w:szCs w:val="24"/>
        </w:rPr>
        <w:t xml:space="preserve">до 18 </w:t>
      </w:r>
      <w:r w:rsidRPr="00D25568">
        <w:rPr>
          <w:bCs/>
          <w:i/>
          <w:sz w:val="24"/>
          <w:szCs w:val="24"/>
        </w:rPr>
        <w:t>лет</w:t>
      </w:r>
      <w:r w:rsidRPr="00D25568">
        <w:rPr>
          <w:bCs/>
          <w:sz w:val="24"/>
          <w:szCs w:val="24"/>
        </w:rPr>
        <w:t>: Би-Коден</w:t>
      </w:r>
      <w:r w:rsidRPr="00D25568">
        <w:rPr>
          <w:bCs/>
          <w:sz w:val="24"/>
          <w:szCs w:val="24"/>
          <w:vertAlign w:val="superscript"/>
        </w:rPr>
        <w:t>®</w:t>
      </w:r>
      <w:r w:rsidRPr="00D25568">
        <w:rPr>
          <w:bCs/>
          <w:sz w:val="24"/>
          <w:szCs w:val="24"/>
        </w:rPr>
        <w:t xml:space="preserve"> принимают внутрь по 15 мл (1 столовая ложка / 1 пакетик) через 1-2 часа после еды и на ночь, а также при возникновении болей в эпигастрии или изжоги. Суточная доза не должна превышать 6 пакетиков / 6 столовых ложек (90</w:t>
      </w:r>
      <w:r w:rsidR="00003085">
        <w:rPr>
          <w:bCs/>
          <w:sz w:val="24"/>
          <w:szCs w:val="24"/>
        </w:rPr>
        <w:t> </w:t>
      </w:r>
      <w:r w:rsidRPr="00D25568">
        <w:rPr>
          <w:bCs/>
          <w:sz w:val="24"/>
          <w:szCs w:val="24"/>
        </w:rPr>
        <w:t>мл суспензии в сутки). При рефлюкс-эзофагите препарат принимают через 30-60 минут после еды. При язвенной болезни желудка препарат принимают за 30 минут до приема пищи. Курс лечения не должен превышать 2-3 месяца. При эпизодическом применении (например, при дискомфорте после погрешностей в диете) принимают по 15 мл (1 столовая ложка / 1 пакетик) однократно.</w:t>
      </w:r>
      <w:r w:rsidR="008A5B3B" w:rsidRPr="00D25568">
        <w:rPr>
          <w:noProof/>
          <w:sz w:val="24"/>
          <w:szCs w:val="24"/>
        </w:rPr>
        <w:t xml:space="preserve"> </w:t>
      </w:r>
    </w:p>
    <w:p w14:paraId="563FB7B5" w14:textId="77777777" w:rsidR="002A097F" w:rsidRPr="009A5BCD" w:rsidRDefault="00C779A8" w:rsidP="004B23C2">
      <w:pPr>
        <w:keepNext/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Побочное действие</w:t>
      </w:r>
    </w:p>
    <w:p w14:paraId="65776CCC" w14:textId="0EBEE22B" w:rsidR="004B23C2" w:rsidRPr="004B23C2" w:rsidRDefault="004B23C2" w:rsidP="004B23C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4B23C2">
        <w:rPr>
          <w:bCs/>
          <w:sz w:val="24"/>
          <w:szCs w:val="24"/>
        </w:rPr>
        <w:t xml:space="preserve">При соблюдении рекомендованного режима дозирования </w:t>
      </w:r>
      <w:r w:rsidR="00003085">
        <w:rPr>
          <w:bCs/>
          <w:sz w:val="24"/>
          <w:szCs w:val="24"/>
        </w:rPr>
        <w:t>нежелательные реакции</w:t>
      </w:r>
      <w:r w:rsidRPr="004B23C2">
        <w:rPr>
          <w:bCs/>
          <w:sz w:val="24"/>
          <w:szCs w:val="24"/>
        </w:rPr>
        <w:t xml:space="preserve"> встречаются редко.</w:t>
      </w:r>
    </w:p>
    <w:p w14:paraId="3195CA57" w14:textId="5A74D702" w:rsidR="001F1F41" w:rsidRPr="001F1F41" w:rsidRDefault="001F1F41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1F1F41">
        <w:rPr>
          <w:bCs/>
          <w:sz w:val="24"/>
          <w:szCs w:val="24"/>
        </w:rPr>
        <w:lastRenderedPageBreak/>
        <w:t xml:space="preserve">Оценка частоты возникновения </w:t>
      </w:r>
      <w:r w:rsidR="00003085">
        <w:rPr>
          <w:bCs/>
          <w:sz w:val="24"/>
          <w:szCs w:val="24"/>
        </w:rPr>
        <w:t>нежелательных</w:t>
      </w:r>
      <w:r w:rsidR="00003085" w:rsidRPr="001F1F41">
        <w:rPr>
          <w:bCs/>
          <w:sz w:val="24"/>
          <w:szCs w:val="24"/>
        </w:rPr>
        <w:t xml:space="preserve"> </w:t>
      </w:r>
      <w:r w:rsidRPr="001F1F41">
        <w:rPr>
          <w:bCs/>
          <w:sz w:val="24"/>
          <w:szCs w:val="24"/>
        </w:rPr>
        <w:t>реакций произведена на основании следующих критериев: очень частые (</w:t>
      </w:r>
      <w:r w:rsidR="00DA3CC4">
        <w:rPr>
          <w:bCs/>
          <w:sz w:val="24"/>
          <w:szCs w:val="24"/>
        </w:rPr>
        <w:t>≥</w:t>
      </w:r>
      <w:r w:rsidRPr="001F1F41">
        <w:rPr>
          <w:bCs/>
          <w:sz w:val="24"/>
          <w:szCs w:val="24"/>
        </w:rPr>
        <w:t xml:space="preserve"> 1/10), частые (</w:t>
      </w:r>
      <w:r w:rsidR="00DA3CC4" w:rsidRPr="00DA3CC4">
        <w:rPr>
          <w:bCs/>
          <w:sz w:val="24"/>
          <w:szCs w:val="24"/>
        </w:rPr>
        <w:t>≥</w:t>
      </w:r>
      <w:r w:rsidRPr="001F1F41">
        <w:rPr>
          <w:bCs/>
          <w:sz w:val="24"/>
          <w:szCs w:val="24"/>
        </w:rPr>
        <w:t xml:space="preserve"> 1/100</w:t>
      </w:r>
      <w:r w:rsidR="00003085">
        <w:rPr>
          <w:bCs/>
          <w:sz w:val="24"/>
          <w:szCs w:val="24"/>
        </w:rPr>
        <w:t>,</w:t>
      </w:r>
      <w:r w:rsidRPr="001F1F41">
        <w:rPr>
          <w:bCs/>
          <w:sz w:val="24"/>
          <w:szCs w:val="24"/>
        </w:rPr>
        <w:t xml:space="preserve"> </w:t>
      </w:r>
      <w:r w:rsidR="00003085">
        <w:rPr>
          <w:bCs/>
          <w:sz w:val="24"/>
          <w:szCs w:val="24"/>
        </w:rPr>
        <w:t>н</w:t>
      </w:r>
      <w:r w:rsidRPr="001F1F41">
        <w:rPr>
          <w:bCs/>
          <w:sz w:val="24"/>
          <w:szCs w:val="24"/>
        </w:rPr>
        <w:t>о &lt; 1/10), нечастые (</w:t>
      </w:r>
      <w:r w:rsidR="00DA3CC4" w:rsidRPr="00DA3CC4">
        <w:rPr>
          <w:bCs/>
          <w:sz w:val="24"/>
          <w:szCs w:val="24"/>
        </w:rPr>
        <w:t>≥</w:t>
      </w:r>
      <w:r w:rsidRPr="001F1F41">
        <w:rPr>
          <w:bCs/>
          <w:sz w:val="24"/>
          <w:szCs w:val="24"/>
        </w:rPr>
        <w:t xml:space="preserve"> 1/1000</w:t>
      </w:r>
      <w:r w:rsidR="00003085">
        <w:rPr>
          <w:bCs/>
          <w:sz w:val="24"/>
          <w:szCs w:val="24"/>
        </w:rPr>
        <w:t>,</w:t>
      </w:r>
      <w:r w:rsidRPr="001F1F41">
        <w:rPr>
          <w:bCs/>
          <w:sz w:val="24"/>
          <w:szCs w:val="24"/>
        </w:rPr>
        <w:t xml:space="preserve"> </w:t>
      </w:r>
      <w:r w:rsidR="00003085">
        <w:rPr>
          <w:bCs/>
          <w:sz w:val="24"/>
          <w:szCs w:val="24"/>
        </w:rPr>
        <w:t>н</w:t>
      </w:r>
      <w:r w:rsidRPr="001F1F41">
        <w:rPr>
          <w:bCs/>
          <w:sz w:val="24"/>
          <w:szCs w:val="24"/>
        </w:rPr>
        <w:t>о</w:t>
      </w:r>
      <w:r w:rsidR="004B23C2">
        <w:rPr>
          <w:bCs/>
          <w:sz w:val="24"/>
          <w:szCs w:val="24"/>
        </w:rPr>
        <w:t xml:space="preserve"> </w:t>
      </w:r>
      <w:r w:rsidRPr="001F1F41">
        <w:rPr>
          <w:bCs/>
          <w:sz w:val="24"/>
          <w:szCs w:val="24"/>
        </w:rPr>
        <w:t>&lt;</w:t>
      </w:r>
      <w:r w:rsidR="004B23C2">
        <w:rPr>
          <w:bCs/>
          <w:sz w:val="24"/>
          <w:szCs w:val="24"/>
        </w:rPr>
        <w:t> </w:t>
      </w:r>
      <w:r w:rsidRPr="001F1F41">
        <w:rPr>
          <w:bCs/>
          <w:sz w:val="24"/>
          <w:szCs w:val="24"/>
        </w:rPr>
        <w:t>1/100), редкие (</w:t>
      </w:r>
      <w:r w:rsidR="00DA3CC4" w:rsidRPr="00DA3CC4">
        <w:rPr>
          <w:bCs/>
          <w:sz w:val="24"/>
          <w:szCs w:val="24"/>
        </w:rPr>
        <w:t>≥</w:t>
      </w:r>
      <w:r w:rsidRPr="001F1F41">
        <w:rPr>
          <w:bCs/>
          <w:sz w:val="24"/>
          <w:szCs w:val="24"/>
        </w:rPr>
        <w:t xml:space="preserve"> 1/10 000</w:t>
      </w:r>
      <w:r w:rsidR="00003085">
        <w:rPr>
          <w:bCs/>
          <w:sz w:val="24"/>
          <w:szCs w:val="24"/>
        </w:rPr>
        <w:t>,</w:t>
      </w:r>
      <w:r w:rsidRPr="001F1F41">
        <w:rPr>
          <w:bCs/>
          <w:sz w:val="24"/>
          <w:szCs w:val="24"/>
        </w:rPr>
        <w:t xml:space="preserve"> </w:t>
      </w:r>
      <w:r w:rsidR="00003085">
        <w:rPr>
          <w:bCs/>
          <w:sz w:val="24"/>
          <w:szCs w:val="24"/>
        </w:rPr>
        <w:t>н</w:t>
      </w:r>
      <w:r w:rsidRPr="001F1F41">
        <w:rPr>
          <w:bCs/>
          <w:sz w:val="24"/>
          <w:szCs w:val="24"/>
        </w:rPr>
        <w:t>о &lt; 1/1000), очень редкие (&lt; 1/10 000), частота неизвестна (данные по оценке частоты отсутствуют).</w:t>
      </w:r>
    </w:p>
    <w:p w14:paraId="5A804B96" w14:textId="77777777" w:rsidR="001F1F41" w:rsidRPr="008E5E50" w:rsidRDefault="001F1F41" w:rsidP="004B23C2">
      <w:pPr>
        <w:keepNext/>
        <w:spacing w:after="0" w:line="360" w:lineRule="auto"/>
        <w:contextualSpacing/>
        <w:jc w:val="both"/>
        <w:rPr>
          <w:bCs/>
          <w:sz w:val="24"/>
          <w:szCs w:val="24"/>
          <w:u w:val="single"/>
        </w:rPr>
      </w:pPr>
      <w:r w:rsidRPr="008E5E50">
        <w:rPr>
          <w:bCs/>
          <w:i/>
          <w:sz w:val="24"/>
          <w:szCs w:val="24"/>
          <w:u w:val="single"/>
        </w:rPr>
        <w:t>Нарушения со стороны иммунной системы</w:t>
      </w:r>
    </w:p>
    <w:p w14:paraId="06E0AD7C" w14:textId="77777777" w:rsidR="004B23C2" w:rsidRPr="004B23C2" w:rsidRDefault="004B23C2" w:rsidP="004B23C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4B23C2">
        <w:rPr>
          <w:bCs/>
          <w:i/>
          <w:sz w:val="24"/>
          <w:szCs w:val="24"/>
        </w:rPr>
        <w:t>Неизвестная частота</w:t>
      </w:r>
      <w:r w:rsidRPr="004B23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Pr="004B23C2">
        <w:rPr>
          <w:bCs/>
          <w:sz w:val="24"/>
          <w:szCs w:val="24"/>
        </w:rPr>
        <w:t xml:space="preserve"> реакции гиперчувствительности, такие как зуд, крапивница, ангионевротический отек и анафилакти</w:t>
      </w:r>
      <w:r w:rsidR="00F57143">
        <w:rPr>
          <w:bCs/>
          <w:sz w:val="24"/>
          <w:szCs w:val="24"/>
        </w:rPr>
        <w:t>ч</w:t>
      </w:r>
      <w:r w:rsidRPr="004B23C2">
        <w:rPr>
          <w:bCs/>
          <w:sz w:val="24"/>
          <w:szCs w:val="24"/>
        </w:rPr>
        <w:t>еские реакции.</w:t>
      </w:r>
    </w:p>
    <w:p w14:paraId="746C286A" w14:textId="77777777" w:rsidR="004B23C2" w:rsidRPr="004B23C2" w:rsidRDefault="004B23C2" w:rsidP="004B23C2">
      <w:pPr>
        <w:spacing w:after="0" w:line="360" w:lineRule="auto"/>
        <w:contextualSpacing/>
        <w:jc w:val="both"/>
        <w:rPr>
          <w:bCs/>
          <w:i/>
          <w:sz w:val="24"/>
          <w:szCs w:val="24"/>
          <w:u w:val="single"/>
        </w:rPr>
      </w:pPr>
      <w:r w:rsidRPr="004B23C2">
        <w:rPr>
          <w:bCs/>
          <w:i/>
          <w:sz w:val="24"/>
          <w:szCs w:val="24"/>
          <w:u w:val="single"/>
        </w:rPr>
        <w:t>Нарушения со стороны желудочно-кишечного тракта</w:t>
      </w:r>
    </w:p>
    <w:p w14:paraId="74575773" w14:textId="77777777" w:rsidR="004B23C2" w:rsidRDefault="004B23C2" w:rsidP="004B23C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4B23C2">
        <w:rPr>
          <w:bCs/>
          <w:i/>
          <w:sz w:val="24"/>
          <w:szCs w:val="24"/>
        </w:rPr>
        <w:t>Нечасто</w:t>
      </w:r>
      <w:r w:rsidRPr="004B23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Pr="004B23C2">
        <w:rPr>
          <w:bCs/>
          <w:sz w:val="24"/>
          <w:szCs w:val="24"/>
        </w:rPr>
        <w:t xml:space="preserve"> ди</w:t>
      </w:r>
      <w:r>
        <w:rPr>
          <w:bCs/>
          <w:sz w:val="24"/>
          <w:szCs w:val="24"/>
        </w:rPr>
        <w:t>арея, запор.</w:t>
      </w:r>
    </w:p>
    <w:p w14:paraId="55C2DB2D" w14:textId="77777777" w:rsidR="004B23C2" w:rsidRPr="004B23C2" w:rsidRDefault="004B23C2" w:rsidP="004B23C2">
      <w:pPr>
        <w:spacing w:after="0" w:line="360" w:lineRule="auto"/>
        <w:contextualSpacing/>
        <w:jc w:val="both"/>
        <w:rPr>
          <w:bCs/>
          <w:i/>
          <w:sz w:val="24"/>
          <w:szCs w:val="24"/>
          <w:u w:val="single"/>
        </w:rPr>
      </w:pPr>
      <w:r w:rsidRPr="004B23C2">
        <w:rPr>
          <w:bCs/>
          <w:i/>
          <w:sz w:val="24"/>
          <w:szCs w:val="24"/>
          <w:u w:val="single"/>
        </w:rPr>
        <w:t>Нарушения обме</w:t>
      </w:r>
      <w:r>
        <w:rPr>
          <w:bCs/>
          <w:i/>
          <w:sz w:val="24"/>
          <w:szCs w:val="24"/>
          <w:u w:val="single"/>
        </w:rPr>
        <w:t>на веществ и питания</w:t>
      </w:r>
    </w:p>
    <w:p w14:paraId="2F5F25B1" w14:textId="121F8A3A" w:rsidR="001F1F41" w:rsidRPr="001F1F41" w:rsidRDefault="004B23C2" w:rsidP="004B23C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4B23C2">
        <w:rPr>
          <w:bCs/>
          <w:i/>
          <w:sz w:val="24"/>
          <w:szCs w:val="24"/>
        </w:rPr>
        <w:t>Неизвестная частота</w:t>
      </w:r>
      <w:r w:rsidRPr="004B23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Pr="004B23C2">
        <w:rPr>
          <w:bCs/>
          <w:sz w:val="24"/>
          <w:szCs w:val="24"/>
        </w:rPr>
        <w:t xml:space="preserve"> гипермагниемия, гипералюминемия</w:t>
      </w:r>
      <w:r w:rsidR="00E521EA">
        <w:rPr>
          <w:bCs/>
          <w:sz w:val="24"/>
          <w:szCs w:val="24"/>
        </w:rPr>
        <w:t>,</w:t>
      </w:r>
      <w:r w:rsidRPr="004B23C2">
        <w:rPr>
          <w:bCs/>
          <w:sz w:val="24"/>
          <w:szCs w:val="24"/>
        </w:rPr>
        <w:t xml:space="preserve"> гипофосфатемия (при длительном лечении или приеме высоких доз, либо при приеме стандартных доз при низком содержании фосфатов в пище), которая может приводить к повышенной резорбции костной ткани, гиперкальциурии, остеомаляции.</w:t>
      </w:r>
    </w:p>
    <w:p w14:paraId="7035B0B1" w14:textId="77777777" w:rsidR="007A58AD" w:rsidRPr="009A5BCD" w:rsidRDefault="00970B64" w:rsidP="004B23C2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Передозировка</w:t>
      </w:r>
    </w:p>
    <w:p w14:paraId="56C87BBF" w14:textId="77777777" w:rsidR="004B23C2" w:rsidRPr="004B23C2" w:rsidRDefault="004B23C2" w:rsidP="004B23C2">
      <w:pPr>
        <w:spacing w:after="0" w:line="36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4B23C2">
        <w:rPr>
          <w:rFonts w:eastAsia="Times New Roman"/>
          <w:bCs/>
          <w:sz w:val="24"/>
          <w:szCs w:val="24"/>
          <w:lang w:eastAsia="ru-RU"/>
        </w:rPr>
        <w:t>Симптомы острой передозировки комбинацией алюминия гидроксида и солей магния включают диарею, боль в животе и рвоту.</w:t>
      </w:r>
    </w:p>
    <w:p w14:paraId="64403B8E" w14:textId="77777777" w:rsidR="004B23C2" w:rsidRPr="004B23C2" w:rsidRDefault="004B23C2" w:rsidP="004B23C2">
      <w:pPr>
        <w:spacing w:after="0" w:line="36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4B23C2">
        <w:rPr>
          <w:rFonts w:eastAsia="Times New Roman"/>
          <w:bCs/>
          <w:sz w:val="24"/>
          <w:szCs w:val="24"/>
          <w:lang w:eastAsia="ru-RU"/>
        </w:rPr>
        <w:t>У пациентов из группы риска прием высоких доз препарата может вызывать или усугублять спастические реакции кишечника или кишечную непроходимость (см. раздел «С осторожностью»).</w:t>
      </w:r>
    </w:p>
    <w:p w14:paraId="0F39A961" w14:textId="77777777" w:rsidR="004B23C2" w:rsidRPr="004B23C2" w:rsidRDefault="004B23C2" w:rsidP="004B23C2">
      <w:pPr>
        <w:spacing w:after="0" w:line="360" w:lineRule="auto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4B23C2">
        <w:rPr>
          <w:rFonts w:eastAsia="Times New Roman"/>
          <w:bCs/>
          <w:i/>
          <w:sz w:val="24"/>
          <w:szCs w:val="24"/>
          <w:lang w:eastAsia="ru-RU"/>
        </w:rPr>
        <w:t>Лечение</w:t>
      </w:r>
    </w:p>
    <w:p w14:paraId="3223AC35" w14:textId="77777777" w:rsidR="00452742" w:rsidRPr="009A5BCD" w:rsidRDefault="004B23C2" w:rsidP="004B23C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4B23C2">
        <w:rPr>
          <w:rFonts w:eastAsia="Times New Roman"/>
          <w:bCs/>
          <w:sz w:val="24"/>
          <w:szCs w:val="24"/>
          <w:lang w:eastAsia="ru-RU"/>
        </w:rPr>
        <w:t>Алюминий и магний выводятся с мочой. Лечение острой передозировки осуществляют при помощи восполнения потери жидкости и форсированного диуреза. Пациентам с почечной недостаточностью необходимо проведение гемодиализа или перитонеального диализа.</w:t>
      </w:r>
      <w:r w:rsidR="00452742" w:rsidRPr="009A5BCD">
        <w:rPr>
          <w:bCs/>
          <w:sz w:val="24"/>
          <w:szCs w:val="24"/>
        </w:rPr>
        <w:t xml:space="preserve"> </w:t>
      </w:r>
    </w:p>
    <w:p w14:paraId="1D92290D" w14:textId="77777777" w:rsidR="007A58AD" w:rsidRPr="009A5BCD" w:rsidRDefault="00970B64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 xml:space="preserve">Взаимодействие с другими лекарственными </w:t>
      </w:r>
      <w:r w:rsidR="004B23C2">
        <w:rPr>
          <w:b/>
          <w:bCs/>
          <w:sz w:val="24"/>
          <w:szCs w:val="24"/>
        </w:rPr>
        <w:t>средствами</w:t>
      </w:r>
    </w:p>
    <w:p w14:paraId="0B3D8941" w14:textId="77777777" w:rsidR="004B23C2" w:rsidRPr="004B23C2" w:rsidRDefault="004B23C2" w:rsidP="004B23C2">
      <w:pPr>
        <w:spacing w:after="0" w:line="360" w:lineRule="auto"/>
        <w:contextualSpacing/>
        <w:jc w:val="both"/>
        <w:rPr>
          <w:bCs/>
          <w:i/>
          <w:sz w:val="24"/>
          <w:szCs w:val="24"/>
        </w:rPr>
      </w:pPr>
      <w:r w:rsidRPr="004B23C2">
        <w:rPr>
          <w:bCs/>
          <w:i/>
          <w:sz w:val="24"/>
          <w:szCs w:val="24"/>
        </w:rPr>
        <w:t>С хинидином</w:t>
      </w:r>
    </w:p>
    <w:p w14:paraId="52C73890" w14:textId="77777777" w:rsidR="004B23C2" w:rsidRPr="004B23C2" w:rsidRDefault="004B23C2" w:rsidP="004B23C2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4B23C2">
        <w:rPr>
          <w:bCs/>
          <w:sz w:val="24"/>
          <w:szCs w:val="24"/>
        </w:rPr>
        <w:t>При одновременном применении с хинидином возможно повышение сывороточных концентраций хинидина и развитие передозировки хинидина.</w:t>
      </w:r>
    </w:p>
    <w:p w14:paraId="3FD1BDC3" w14:textId="77777777" w:rsidR="004B23C2" w:rsidRPr="00B166B1" w:rsidRDefault="004B23C2" w:rsidP="004B23C2">
      <w:pPr>
        <w:spacing w:after="0" w:line="360" w:lineRule="auto"/>
        <w:contextualSpacing/>
        <w:jc w:val="both"/>
        <w:rPr>
          <w:bCs/>
          <w:i/>
          <w:sz w:val="24"/>
          <w:szCs w:val="24"/>
        </w:rPr>
      </w:pPr>
      <w:r w:rsidRPr="00B166B1">
        <w:rPr>
          <w:bCs/>
          <w:i/>
          <w:sz w:val="24"/>
          <w:szCs w:val="24"/>
        </w:rPr>
        <w:t>С блокатора</w:t>
      </w:r>
      <w:r w:rsidR="003E4F04">
        <w:rPr>
          <w:bCs/>
          <w:i/>
          <w:sz w:val="24"/>
          <w:szCs w:val="24"/>
        </w:rPr>
        <w:t>м</w:t>
      </w:r>
      <w:r w:rsidRPr="00B166B1">
        <w:rPr>
          <w:bCs/>
          <w:i/>
          <w:sz w:val="24"/>
          <w:szCs w:val="24"/>
        </w:rPr>
        <w:t xml:space="preserve">и Н2-гистаминовых рецепторов, пропранололом, атенололом, цефдиниром, цефподоксимом, </w:t>
      </w:r>
      <w:r w:rsidR="00B166B1" w:rsidRPr="00B166B1">
        <w:rPr>
          <w:bCs/>
          <w:i/>
          <w:sz w:val="24"/>
          <w:szCs w:val="24"/>
        </w:rPr>
        <w:t>м</w:t>
      </w:r>
      <w:r w:rsidRPr="00B166B1">
        <w:rPr>
          <w:bCs/>
          <w:i/>
          <w:sz w:val="24"/>
          <w:szCs w:val="24"/>
        </w:rPr>
        <w:t>етопрололо</w:t>
      </w:r>
      <w:r w:rsidR="00B166B1" w:rsidRPr="00B166B1">
        <w:rPr>
          <w:bCs/>
          <w:i/>
          <w:sz w:val="24"/>
          <w:szCs w:val="24"/>
        </w:rPr>
        <w:t>м</w:t>
      </w:r>
      <w:r w:rsidRPr="00B166B1">
        <w:rPr>
          <w:bCs/>
          <w:i/>
          <w:sz w:val="24"/>
          <w:szCs w:val="24"/>
        </w:rPr>
        <w:t xml:space="preserve">, </w:t>
      </w:r>
      <w:r w:rsidR="00B166B1" w:rsidRPr="00B166B1">
        <w:rPr>
          <w:bCs/>
          <w:i/>
          <w:sz w:val="24"/>
          <w:szCs w:val="24"/>
        </w:rPr>
        <w:t>хлорохином, проста</w:t>
      </w:r>
      <w:r w:rsidRPr="00B166B1">
        <w:rPr>
          <w:bCs/>
          <w:i/>
          <w:sz w:val="24"/>
          <w:szCs w:val="24"/>
        </w:rPr>
        <w:t>циклинами, дифлуниса</w:t>
      </w:r>
      <w:r w:rsidR="00B166B1" w:rsidRPr="00B166B1">
        <w:rPr>
          <w:bCs/>
          <w:i/>
          <w:sz w:val="24"/>
          <w:szCs w:val="24"/>
        </w:rPr>
        <w:t>л</w:t>
      </w:r>
      <w:r w:rsidRPr="00B166B1">
        <w:rPr>
          <w:bCs/>
          <w:i/>
          <w:sz w:val="24"/>
          <w:szCs w:val="24"/>
        </w:rPr>
        <w:t>ом, дигокси</w:t>
      </w:r>
      <w:r w:rsidR="00B166B1" w:rsidRPr="00B166B1">
        <w:rPr>
          <w:bCs/>
          <w:i/>
          <w:sz w:val="24"/>
          <w:szCs w:val="24"/>
        </w:rPr>
        <w:t>ном</w:t>
      </w:r>
      <w:r w:rsidRPr="00B166B1">
        <w:rPr>
          <w:bCs/>
          <w:i/>
          <w:sz w:val="24"/>
          <w:szCs w:val="24"/>
        </w:rPr>
        <w:t>, бисфосфоната</w:t>
      </w:r>
      <w:r w:rsidR="00B166B1" w:rsidRPr="00B166B1">
        <w:rPr>
          <w:bCs/>
          <w:i/>
          <w:sz w:val="24"/>
          <w:szCs w:val="24"/>
        </w:rPr>
        <w:t>м</w:t>
      </w:r>
      <w:r w:rsidRPr="00B166B1">
        <w:rPr>
          <w:bCs/>
          <w:i/>
          <w:sz w:val="24"/>
          <w:szCs w:val="24"/>
        </w:rPr>
        <w:t>и, этамбутолом, изониазидом, фторхинолонами, натрия фторидом, глюкокортикостероидами (описано для преднизолона и дексаметазона), индометацином, кетоконазоло</w:t>
      </w:r>
      <w:r w:rsidR="00B166B1" w:rsidRPr="00B166B1">
        <w:rPr>
          <w:bCs/>
          <w:i/>
          <w:sz w:val="24"/>
          <w:szCs w:val="24"/>
        </w:rPr>
        <w:t>м</w:t>
      </w:r>
      <w:r w:rsidRPr="00B166B1">
        <w:rPr>
          <w:bCs/>
          <w:i/>
          <w:sz w:val="24"/>
          <w:szCs w:val="24"/>
        </w:rPr>
        <w:t>, линкоза</w:t>
      </w:r>
      <w:r w:rsidR="00B166B1" w:rsidRPr="00B166B1">
        <w:rPr>
          <w:bCs/>
          <w:i/>
          <w:sz w:val="24"/>
          <w:szCs w:val="24"/>
        </w:rPr>
        <w:t>м</w:t>
      </w:r>
      <w:r w:rsidRPr="00B166B1">
        <w:rPr>
          <w:bCs/>
          <w:i/>
          <w:sz w:val="24"/>
          <w:szCs w:val="24"/>
        </w:rPr>
        <w:t>ида</w:t>
      </w:r>
      <w:r w:rsidR="00B166B1" w:rsidRPr="00B166B1">
        <w:rPr>
          <w:bCs/>
          <w:i/>
          <w:sz w:val="24"/>
          <w:szCs w:val="24"/>
        </w:rPr>
        <w:t>м</w:t>
      </w:r>
      <w:r w:rsidRPr="00B166B1">
        <w:rPr>
          <w:bCs/>
          <w:i/>
          <w:sz w:val="24"/>
          <w:szCs w:val="24"/>
        </w:rPr>
        <w:t xml:space="preserve">и, фенотиазиновыми </w:t>
      </w:r>
      <w:r w:rsidR="00B166B1" w:rsidRPr="00B166B1">
        <w:rPr>
          <w:bCs/>
          <w:i/>
          <w:sz w:val="24"/>
          <w:szCs w:val="24"/>
        </w:rPr>
        <w:t>н</w:t>
      </w:r>
      <w:r w:rsidRPr="00B166B1">
        <w:rPr>
          <w:bCs/>
          <w:i/>
          <w:sz w:val="24"/>
          <w:szCs w:val="24"/>
        </w:rPr>
        <w:t>ейролептика</w:t>
      </w:r>
      <w:r w:rsidR="00B166B1" w:rsidRPr="00B166B1">
        <w:rPr>
          <w:bCs/>
          <w:i/>
          <w:sz w:val="24"/>
          <w:szCs w:val="24"/>
        </w:rPr>
        <w:t>м</w:t>
      </w:r>
      <w:r w:rsidRPr="00B166B1">
        <w:rPr>
          <w:bCs/>
          <w:i/>
          <w:sz w:val="24"/>
          <w:szCs w:val="24"/>
        </w:rPr>
        <w:t>и</w:t>
      </w:r>
      <w:r w:rsidR="00B166B1" w:rsidRPr="00B166B1">
        <w:rPr>
          <w:bCs/>
          <w:i/>
          <w:sz w:val="24"/>
          <w:szCs w:val="24"/>
        </w:rPr>
        <w:t>,</w:t>
      </w:r>
      <w:r w:rsidRPr="00B166B1">
        <w:rPr>
          <w:bCs/>
          <w:i/>
          <w:sz w:val="24"/>
          <w:szCs w:val="24"/>
        </w:rPr>
        <w:t xml:space="preserve"> пен</w:t>
      </w:r>
      <w:r w:rsidR="00B166B1" w:rsidRPr="00B166B1">
        <w:rPr>
          <w:bCs/>
          <w:i/>
          <w:sz w:val="24"/>
          <w:szCs w:val="24"/>
        </w:rPr>
        <w:t>ицилламином</w:t>
      </w:r>
      <w:r w:rsidRPr="00B166B1">
        <w:rPr>
          <w:bCs/>
          <w:i/>
          <w:sz w:val="24"/>
          <w:szCs w:val="24"/>
        </w:rPr>
        <w:t>, розувастати</w:t>
      </w:r>
      <w:r w:rsidR="00B166B1" w:rsidRPr="00B166B1">
        <w:rPr>
          <w:bCs/>
          <w:i/>
          <w:sz w:val="24"/>
          <w:szCs w:val="24"/>
        </w:rPr>
        <w:t>ном</w:t>
      </w:r>
      <w:r w:rsidRPr="00B166B1">
        <w:rPr>
          <w:bCs/>
          <w:i/>
          <w:sz w:val="24"/>
          <w:szCs w:val="24"/>
        </w:rPr>
        <w:t>, солями железа, левотироксино</w:t>
      </w:r>
      <w:r w:rsidR="00B166B1" w:rsidRPr="00B166B1">
        <w:rPr>
          <w:bCs/>
          <w:i/>
          <w:sz w:val="24"/>
          <w:szCs w:val="24"/>
        </w:rPr>
        <w:t>м.</w:t>
      </w:r>
    </w:p>
    <w:p w14:paraId="6C69A652" w14:textId="31DD9798" w:rsidR="00B166B1" w:rsidRPr="00B166B1" w:rsidRDefault="004B23C2" w:rsidP="00B166B1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4B23C2">
        <w:rPr>
          <w:bCs/>
          <w:sz w:val="24"/>
          <w:szCs w:val="24"/>
        </w:rPr>
        <w:lastRenderedPageBreak/>
        <w:t xml:space="preserve">Снижается всасывание перечисленных выше препаратов при одновременном их применении с препаратом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4B23C2">
        <w:rPr>
          <w:bCs/>
          <w:sz w:val="24"/>
          <w:szCs w:val="24"/>
        </w:rPr>
        <w:t>. В случае 2-х часового интервала между приемом</w:t>
      </w:r>
      <w:r w:rsidR="00B166B1">
        <w:rPr>
          <w:bCs/>
          <w:sz w:val="24"/>
          <w:szCs w:val="24"/>
        </w:rPr>
        <w:t xml:space="preserve"> </w:t>
      </w:r>
      <w:r w:rsidR="00B166B1" w:rsidRPr="00B166B1">
        <w:rPr>
          <w:bCs/>
          <w:sz w:val="24"/>
          <w:szCs w:val="24"/>
        </w:rPr>
        <w:t xml:space="preserve">этих препаратов и препарата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="00B166B1" w:rsidRPr="00B166B1">
        <w:rPr>
          <w:bCs/>
          <w:sz w:val="24"/>
          <w:szCs w:val="24"/>
        </w:rPr>
        <w:t xml:space="preserve"> и 4-х часового интервала между приемом фторхинолонов и препарата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="00B166B1" w:rsidRPr="00B166B1">
        <w:rPr>
          <w:bCs/>
          <w:sz w:val="24"/>
          <w:szCs w:val="24"/>
        </w:rPr>
        <w:t xml:space="preserve"> в большинстве случаев данного нежелательного взаимодействия можно избежать.</w:t>
      </w:r>
    </w:p>
    <w:p w14:paraId="2C1E98BE" w14:textId="77777777" w:rsidR="00B166B1" w:rsidRPr="00B166B1" w:rsidRDefault="00B166B1" w:rsidP="00B166B1">
      <w:pPr>
        <w:spacing w:after="0" w:line="360" w:lineRule="auto"/>
        <w:contextualSpacing/>
        <w:jc w:val="both"/>
        <w:rPr>
          <w:bCs/>
          <w:i/>
          <w:sz w:val="24"/>
          <w:szCs w:val="24"/>
        </w:rPr>
      </w:pPr>
      <w:r w:rsidRPr="00B166B1">
        <w:rPr>
          <w:bCs/>
          <w:i/>
          <w:sz w:val="24"/>
          <w:szCs w:val="24"/>
        </w:rPr>
        <w:t>С полистиролсульфонатом (кайексалатом)</w:t>
      </w:r>
    </w:p>
    <w:p w14:paraId="2CD67BBA" w14:textId="1D0D77CA" w:rsidR="00B166B1" w:rsidRPr="00B166B1" w:rsidRDefault="00B166B1" w:rsidP="00B166B1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B166B1">
        <w:rPr>
          <w:bCs/>
          <w:sz w:val="24"/>
          <w:szCs w:val="24"/>
        </w:rPr>
        <w:t xml:space="preserve">При совместном применении препарата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B166B1">
        <w:rPr>
          <w:bCs/>
          <w:sz w:val="24"/>
          <w:szCs w:val="24"/>
        </w:rPr>
        <w:t xml:space="preserve"> с полистиролсульфонатом (кайексалатом) следует соблюдать осторожность из-за возможного риска снижения эффективности связывания калия смолой и развития метаболического алкалоза у пациентов с почечной недостаточностью (для алюминия гидроксида и магния гидроксида)</w:t>
      </w:r>
      <w:r>
        <w:rPr>
          <w:bCs/>
          <w:sz w:val="24"/>
          <w:szCs w:val="24"/>
        </w:rPr>
        <w:t xml:space="preserve"> </w:t>
      </w:r>
      <w:r w:rsidRPr="00B166B1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B166B1">
        <w:rPr>
          <w:bCs/>
          <w:sz w:val="24"/>
          <w:szCs w:val="24"/>
        </w:rPr>
        <w:t>обструкции кишечника (для алюминия гидроксида).</w:t>
      </w:r>
    </w:p>
    <w:p w14:paraId="3B556C15" w14:textId="77777777" w:rsidR="00B166B1" w:rsidRPr="00B166B1" w:rsidRDefault="00B166B1" w:rsidP="00B166B1">
      <w:pPr>
        <w:spacing w:after="0" w:line="360" w:lineRule="auto"/>
        <w:contextualSpacing/>
        <w:jc w:val="both"/>
        <w:rPr>
          <w:bCs/>
          <w:i/>
          <w:sz w:val="24"/>
          <w:szCs w:val="24"/>
        </w:rPr>
      </w:pPr>
      <w:r w:rsidRPr="00B166B1">
        <w:rPr>
          <w:bCs/>
          <w:i/>
          <w:sz w:val="24"/>
          <w:szCs w:val="24"/>
        </w:rPr>
        <w:t>С цитратами</w:t>
      </w:r>
    </w:p>
    <w:p w14:paraId="57202F7A" w14:textId="77777777" w:rsidR="004B23C2" w:rsidRDefault="00B166B1" w:rsidP="00B166B1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B166B1">
        <w:rPr>
          <w:bCs/>
          <w:sz w:val="24"/>
          <w:szCs w:val="24"/>
        </w:rPr>
        <w:t>При сочетании гидроксида алюминия с цитратами возможно увеличение концентрации алюминия в плазме крови, в особенности у пациентов с почечной недостаточностью.</w:t>
      </w:r>
    </w:p>
    <w:p w14:paraId="08CA50F6" w14:textId="77777777" w:rsidR="00453F86" w:rsidRPr="009A5BCD" w:rsidRDefault="00453F86" w:rsidP="00B166B1">
      <w:pPr>
        <w:keepNext/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Особые указания</w:t>
      </w:r>
    </w:p>
    <w:p w14:paraId="5490A796" w14:textId="28BB8456" w:rsidR="00B166B1" w:rsidRPr="00B166B1" w:rsidRDefault="00B166B1" w:rsidP="00B166B1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B166B1">
        <w:rPr>
          <w:bCs/>
          <w:sz w:val="24"/>
          <w:szCs w:val="24"/>
        </w:rPr>
        <w:t>Следует соблюдать 2-часовой интервал между применением препарат</w:t>
      </w:r>
      <w:r w:rsidR="00816443">
        <w:rPr>
          <w:bCs/>
          <w:sz w:val="24"/>
          <w:szCs w:val="24"/>
        </w:rPr>
        <w:t>а</w:t>
      </w:r>
      <w:r w:rsidRPr="00B166B1">
        <w:rPr>
          <w:bCs/>
          <w:sz w:val="24"/>
          <w:szCs w:val="24"/>
        </w:rPr>
        <w:t xml:space="preserve">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B166B1">
        <w:rPr>
          <w:bCs/>
          <w:sz w:val="24"/>
          <w:szCs w:val="24"/>
        </w:rPr>
        <w:t xml:space="preserve"> и других препаратов и 4-часовой интервал между приемом препарата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B166B1">
        <w:rPr>
          <w:bCs/>
          <w:sz w:val="24"/>
          <w:szCs w:val="24"/>
        </w:rPr>
        <w:t xml:space="preserve"> и фторхинолонов (см. раздел «Взаимодействие с другими лекарственными средствами»). Следует избегать длительного назначения препарата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B166B1">
        <w:rPr>
          <w:bCs/>
          <w:sz w:val="24"/>
          <w:szCs w:val="24"/>
        </w:rPr>
        <w:t xml:space="preserve"> при нарушениях функции почек.</w:t>
      </w:r>
    </w:p>
    <w:p w14:paraId="4C7A0480" w14:textId="77777777" w:rsidR="00B166B1" w:rsidRPr="00B166B1" w:rsidRDefault="00B166B1" w:rsidP="00B166B1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B166B1">
        <w:rPr>
          <w:bCs/>
          <w:sz w:val="24"/>
          <w:szCs w:val="24"/>
        </w:rPr>
        <w:t>Алюминия гидроксид при низком содержании фосфатов в пище может приводить к развитию фосфатной недостаточности в организме, поэтому при применении алюминия гидроксида, особенно длительном, следует обеспечить достаточное поступление фосфатов</w:t>
      </w:r>
      <w:r w:rsidR="00710429">
        <w:rPr>
          <w:bCs/>
          <w:sz w:val="24"/>
          <w:szCs w:val="24"/>
        </w:rPr>
        <w:t xml:space="preserve"> </w:t>
      </w:r>
      <w:r w:rsidRPr="00B166B1">
        <w:rPr>
          <w:bCs/>
          <w:sz w:val="24"/>
          <w:szCs w:val="24"/>
        </w:rPr>
        <w:t>с</w:t>
      </w:r>
      <w:r w:rsidR="00710429">
        <w:rPr>
          <w:bCs/>
          <w:sz w:val="24"/>
          <w:szCs w:val="24"/>
        </w:rPr>
        <w:t xml:space="preserve"> </w:t>
      </w:r>
      <w:r w:rsidRPr="00B166B1">
        <w:rPr>
          <w:bCs/>
          <w:sz w:val="24"/>
          <w:szCs w:val="24"/>
        </w:rPr>
        <w:t>пищей.</w:t>
      </w:r>
    </w:p>
    <w:p w14:paraId="000B88A2" w14:textId="3CD0ABE9" w:rsidR="00B166B1" w:rsidRPr="00B166B1" w:rsidRDefault="00B166B1" w:rsidP="00B166B1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B166B1">
        <w:rPr>
          <w:bCs/>
          <w:sz w:val="24"/>
          <w:szCs w:val="24"/>
        </w:rPr>
        <w:t>В</w:t>
      </w:r>
      <w:r w:rsidR="00710429">
        <w:rPr>
          <w:bCs/>
          <w:sz w:val="24"/>
          <w:szCs w:val="24"/>
        </w:rPr>
        <w:t xml:space="preserve"> </w:t>
      </w:r>
      <w:r w:rsidRPr="00B166B1">
        <w:rPr>
          <w:bCs/>
          <w:sz w:val="24"/>
          <w:szCs w:val="24"/>
        </w:rPr>
        <w:t xml:space="preserve">случае почечной недостаточности или обезвоживания длительное применение препарата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B166B1">
        <w:rPr>
          <w:bCs/>
          <w:sz w:val="24"/>
          <w:szCs w:val="24"/>
        </w:rPr>
        <w:t xml:space="preserve"> может привести к развитию гипермагниемии (жажда, снижение артериального давления, снижение рефлексов).</w:t>
      </w:r>
    </w:p>
    <w:p w14:paraId="55855211" w14:textId="77777777" w:rsidR="002A7516" w:rsidRPr="009A5BCD" w:rsidRDefault="00192891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Влияние на способность управл</w:t>
      </w:r>
      <w:r w:rsidR="00841CF6">
        <w:rPr>
          <w:b/>
          <w:bCs/>
          <w:sz w:val="24"/>
          <w:szCs w:val="24"/>
        </w:rPr>
        <w:t>ять</w:t>
      </w:r>
      <w:r w:rsidRPr="009A5BCD">
        <w:rPr>
          <w:b/>
          <w:bCs/>
          <w:sz w:val="24"/>
          <w:szCs w:val="24"/>
        </w:rPr>
        <w:t xml:space="preserve"> транспортными с</w:t>
      </w:r>
      <w:r w:rsidR="00841CF6">
        <w:rPr>
          <w:b/>
          <w:bCs/>
          <w:sz w:val="24"/>
          <w:szCs w:val="24"/>
        </w:rPr>
        <w:t>редствами</w:t>
      </w:r>
      <w:r w:rsidR="00A400CC">
        <w:rPr>
          <w:b/>
          <w:bCs/>
          <w:sz w:val="24"/>
          <w:szCs w:val="24"/>
        </w:rPr>
        <w:t>, механизмами</w:t>
      </w:r>
    </w:p>
    <w:p w14:paraId="76AA3E40" w14:textId="2C5FED3A" w:rsidR="007C19E7" w:rsidRPr="007C19E7" w:rsidRDefault="00710429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710429">
        <w:rPr>
          <w:bCs/>
          <w:sz w:val="24"/>
          <w:szCs w:val="24"/>
        </w:rPr>
        <w:t xml:space="preserve">Применение препарата </w:t>
      </w:r>
      <w:r w:rsidR="00E046CF">
        <w:rPr>
          <w:bCs/>
          <w:sz w:val="24"/>
          <w:szCs w:val="24"/>
        </w:rPr>
        <w:t>Би-Коден</w:t>
      </w:r>
      <w:r w:rsidR="00DB16A6" w:rsidRPr="00DB16A6">
        <w:rPr>
          <w:bCs/>
          <w:sz w:val="24"/>
          <w:szCs w:val="24"/>
          <w:vertAlign w:val="superscript"/>
        </w:rPr>
        <w:t>®</w:t>
      </w:r>
      <w:r w:rsidRPr="00710429">
        <w:rPr>
          <w:bCs/>
          <w:sz w:val="24"/>
          <w:szCs w:val="24"/>
        </w:rPr>
        <w:t xml:space="preserve"> не оказывает влияния на выполнение действий, требующих повышенной концентрации внимания и быстроты психомоторных реакций.</w:t>
      </w:r>
    </w:p>
    <w:p w14:paraId="48509755" w14:textId="77777777" w:rsidR="00D25568" w:rsidRPr="00D25568" w:rsidRDefault="00D25568" w:rsidP="00D25568">
      <w:pPr>
        <w:keepNext/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D25568">
        <w:rPr>
          <w:b/>
          <w:bCs/>
          <w:sz w:val="24"/>
          <w:szCs w:val="24"/>
        </w:rPr>
        <w:t>Форма выпуска</w:t>
      </w:r>
    </w:p>
    <w:p w14:paraId="56CA632E" w14:textId="77777777" w:rsidR="00D2556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sz w:val="24"/>
          <w:szCs w:val="24"/>
        </w:rPr>
        <w:t>Суспензия для приема внутрь.</w:t>
      </w:r>
    </w:p>
    <w:p w14:paraId="2D4BCA9B" w14:textId="77777777" w:rsidR="00D2556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sz w:val="24"/>
          <w:szCs w:val="24"/>
        </w:rPr>
        <w:t>По 100 мл, 150 мл, 200 мл во флаконы из полиэтилентерефталата с крышками из полиэтилена низкой плотности или полипропилена с прокладкой, с контролем первого вскрытия и защитой от детей.</w:t>
      </w:r>
    </w:p>
    <w:p w14:paraId="4FA86F8E" w14:textId="77777777" w:rsidR="00D2556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sz w:val="24"/>
          <w:szCs w:val="24"/>
        </w:rPr>
        <w:lastRenderedPageBreak/>
        <w:t>По 100 мл во флаконы из темного стекла с винтовой крышкой с защитой от детей или без, контролем первого вскрытия, тиснением и прокладкой.</w:t>
      </w:r>
    </w:p>
    <w:p w14:paraId="0BCC6CDC" w14:textId="77777777" w:rsidR="00D2556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sz w:val="24"/>
          <w:szCs w:val="24"/>
        </w:rPr>
        <w:t>По 100 мл, 150 мл во флаконы из полиэтилентерефталата со средствами укупорочными из полиэтилена низкой плотности.</w:t>
      </w:r>
    </w:p>
    <w:p w14:paraId="3C78F855" w14:textId="77777777" w:rsidR="00D2556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sz w:val="24"/>
          <w:szCs w:val="24"/>
        </w:rPr>
        <w:t>Каждый флакон вместе с инструкцией по применению помещают в пачку из картона. В пачку картонную могут вкладывать мерный стаканчик или мерную ложку.</w:t>
      </w:r>
    </w:p>
    <w:p w14:paraId="07DBA881" w14:textId="77777777" w:rsidR="00D25568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sz w:val="24"/>
          <w:szCs w:val="24"/>
        </w:rPr>
        <w:t>По 15 мл в пакетики из упаковочного комбинированного материала.</w:t>
      </w:r>
    </w:p>
    <w:p w14:paraId="7A50DC5C" w14:textId="10DC0541" w:rsidR="006C39D3" w:rsidRPr="00D25568" w:rsidRDefault="00D25568" w:rsidP="00D2556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D25568">
        <w:rPr>
          <w:bCs/>
          <w:sz w:val="24"/>
          <w:szCs w:val="24"/>
        </w:rPr>
        <w:t>По 2, 4, 6, 8, 10, 12, 20, 30 пакетиков вместе с инструкцией по применению помещают в пачку картонную. Пакетики могут быть размещены индивидуально или скреплены попарно.</w:t>
      </w:r>
    </w:p>
    <w:p w14:paraId="42032863" w14:textId="57C9F88B" w:rsidR="002A7516" w:rsidRPr="009A5BCD" w:rsidRDefault="00192891" w:rsidP="006C39D3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Условия хранения</w:t>
      </w:r>
    </w:p>
    <w:p w14:paraId="0E3125F9" w14:textId="0CEAB81F" w:rsidR="002A7516" w:rsidRPr="009A5BCD" w:rsidRDefault="00192891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Cs/>
          <w:sz w:val="24"/>
          <w:szCs w:val="24"/>
        </w:rPr>
        <w:t>При температуре не выше 25 °С</w:t>
      </w:r>
      <w:r w:rsidR="00021ED6">
        <w:rPr>
          <w:bCs/>
          <w:sz w:val="24"/>
          <w:szCs w:val="24"/>
        </w:rPr>
        <w:t>.</w:t>
      </w:r>
    </w:p>
    <w:p w14:paraId="0E8A8A4A" w14:textId="77777777" w:rsidR="00192891" w:rsidRPr="009A5BCD" w:rsidRDefault="00192891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Cs/>
          <w:sz w:val="24"/>
          <w:szCs w:val="24"/>
        </w:rPr>
        <w:t>Хранить в недоступном для детей месте</w:t>
      </w:r>
      <w:r w:rsidR="00FE2415">
        <w:rPr>
          <w:bCs/>
          <w:sz w:val="24"/>
          <w:szCs w:val="24"/>
        </w:rPr>
        <w:t>.</w:t>
      </w:r>
      <w:r w:rsidRPr="009A5BCD">
        <w:rPr>
          <w:bCs/>
          <w:sz w:val="24"/>
          <w:szCs w:val="24"/>
        </w:rPr>
        <w:t xml:space="preserve"> </w:t>
      </w:r>
    </w:p>
    <w:p w14:paraId="73E801A3" w14:textId="77777777" w:rsidR="007C19E7" w:rsidRDefault="00192891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Срок годности</w:t>
      </w:r>
    </w:p>
    <w:p w14:paraId="2693B25E" w14:textId="137405AA" w:rsidR="007C19E7" w:rsidRDefault="00192891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Cs/>
          <w:sz w:val="24"/>
          <w:szCs w:val="24"/>
        </w:rPr>
        <w:t>3 года.</w:t>
      </w:r>
      <w:r w:rsidR="00F23323">
        <w:rPr>
          <w:bCs/>
          <w:sz w:val="24"/>
          <w:szCs w:val="24"/>
        </w:rPr>
        <w:t xml:space="preserve"> </w:t>
      </w:r>
      <w:r w:rsidR="006C39D3" w:rsidRPr="006C39D3">
        <w:rPr>
          <w:bCs/>
          <w:sz w:val="24"/>
          <w:szCs w:val="24"/>
        </w:rPr>
        <w:t>Использовать в течение 6 месяцев после вскрытия флакона</w:t>
      </w:r>
      <w:r w:rsidR="00C11808">
        <w:rPr>
          <w:bCs/>
          <w:sz w:val="24"/>
          <w:szCs w:val="24"/>
        </w:rPr>
        <w:t>*</w:t>
      </w:r>
      <w:r w:rsidR="006C39D3" w:rsidRPr="006C39D3">
        <w:rPr>
          <w:bCs/>
          <w:sz w:val="24"/>
          <w:szCs w:val="24"/>
        </w:rPr>
        <w:t xml:space="preserve">. </w:t>
      </w:r>
      <w:r w:rsidR="007C19E7" w:rsidRPr="007C19E7">
        <w:rPr>
          <w:bCs/>
          <w:sz w:val="24"/>
          <w:szCs w:val="24"/>
        </w:rPr>
        <w:t xml:space="preserve">Не </w:t>
      </w:r>
      <w:r w:rsidR="00A400CC">
        <w:rPr>
          <w:bCs/>
          <w:sz w:val="24"/>
          <w:szCs w:val="24"/>
        </w:rPr>
        <w:t>применять</w:t>
      </w:r>
      <w:r w:rsidR="007C19E7" w:rsidRPr="007C19E7">
        <w:rPr>
          <w:bCs/>
          <w:sz w:val="24"/>
          <w:szCs w:val="24"/>
        </w:rPr>
        <w:t xml:space="preserve"> по истечении срока годности.</w:t>
      </w:r>
    </w:p>
    <w:p w14:paraId="650A0A85" w14:textId="27194CD3" w:rsidR="00C11808" w:rsidRPr="00A63609" w:rsidRDefault="00C11808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C11808">
        <w:rPr>
          <w:bCs/>
          <w:sz w:val="24"/>
          <w:szCs w:val="24"/>
        </w:rPr>
        <w:t xml:space="preserve">* - для </w:t>
      </w:r>
      <w:r w:rsidR="008A54AD">
        <w:rPr>
          <w:bCs/>
          <w:sz w:val="24"/>
          <w:szCs w:val="24"/>
        </w:rPr>
        <w:t>фасовки</w:t>
      </w:r>
      <w:r w:rsidRPr="00C11808">
        <w:rPr>
          <w:bCs/>
          <w:sz w:val="24"/>
          <w:szCs w:val="24"/>
        </w:rPr>
        <w:t xml:space="preserve"> во флакон</w:t>
      </w:r>
      <w:r w:rsidR="008A54AD">
        <w:rPr>
          <w:bCs/>
          <w:sz w:val="24"/>
          <w:szCs w:val="24"/>
        </w:rPr>
        <w:t>ы</w:t>
      </w:r>
      <w:r w:rsidRPr="00C11808">
        <w:rPr>
          <w:bCs/>
          <w:sz w:val="24"/>
          <w:szCs w:val="24"/>
        </w:rPr>
        <w:t>.</w:t>
      </w:r>
    </w:p>
    <w:p w14:paraId="0B2E8636" w14:textId="77777777" w:rsidR="002A7516" w:rsidRPr="009A5BCD" w:rsidRDefault="00192891" w:rsidP="00BF4EF8">
      <w:pPr>
        <w:spacing w:after="0" w:line="360" w:lineRule="auto"/>
        <w:contextualSpacing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Условия отпуска</w:t>
      </w:r>
    </w:p>
    <w:p w14:paraId="12DF72BA" w14:textId="77777777" w:rsidR="00192891" w:rsidRPr="009A5BCD" w:rsidRDefault="00192891" w:rsidP="00BF4EF8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9A5BCD">
        <w:rPr>
          <w:bCs/>
          <w:sz w:val="24"/>
          <w:szCs w:val="24"/>
        </w:rPr>
        <w:t>Без рецепта.</w:t>
      </w:r>
    </w:p>
    <w:p w14:paraId="21410A63" w14:textId="77777777" w:rsidR="0014773B" w:rsidRPr="009A5BCD" w:rsidRDefault="0014773B" w:rsidP="00BF4EF8">
      <w:pPr>
        <w:keepNext/>
        <w:spacing w:after="0" w:line="360" w:lineRule="auto"/>
        <w:contextualSpacing/>
        <w:jc w:val="both"/>
        <w:rPr>
          <w:b/>
          <w:sz w:val="24"/>
          <w:szCs w:val="24"/>
        </w:rPr>
      </w:pPr>
      <w:r w:rsidRPr="009A5BCD">
        <w:rPr>
          <w:b/>
          <w:sz w:val="24"/>
          <w:szCs w:val="24"/>
        </w:rPr>
        <w:t>Производитель/Организация, принимающая претензии</w:t>
      </w:r>
      <w:r w:rsidR="000F7830" w:rsidRPr="009A5BCD">
        <w:rPr>
          <w:b/>
          <w:sz w:val="24"/>
          <w:szCs w:val="24"/>
        </w:rPr>
        <w:t>:</w:t>
      </w:r>
    </w:p>
    <w:p w14:paraId="57383003" w14:textId="77777777" w:rsidR="00417998" w:rsidRPr="009A5BCD" w:rsidRDefault="00EA68F7" w:rsidP="00BF4EF8">
      <w:pPr>
        <w:spacing w:after="0" w:line="360" w:lineRule="auto"/>
        <w:contextualSpacing/>
        <w:jc w:val="both"/>
        <w:rPr>
          <w:sz w:val="24"/>
          <w:szCs w:val="24"/>
        </w:rPr>
      </w:pPr>
      <w:r w:rsidRPr="009A5BCD">
        <w:rPr>
          <w:sz w:val="24"/>
          <w:szCs w:val="24"/>
        </w:rPr>
        <w:t>ОО</w:t>
      </w:r>
      <w:r w:rsidR="0014773B" w:rsidRPr="009A5BCD">
        <w:rPr>
          <w:sz w:val="24"/>
          <w:szCs w:val="24"/>
        </w:rPr>
        <w:t xml:space="preserve">О </w:t>
      </w:r>
      <w:r w:rsidRPr="009A5BCD">
        <w:rPr>
          <w:sz w:val="24"/>
          <w:szCs w:val="24"/>
        </w:rPr>
        <w:t>НПО</w:t>
      </w:r>
      <w:r w:rsidR="00D10AA6" w:rsidRPr="009A5BCD">
        <w:rPr>
          <w:sz w:val="24"/>
          <w:szCs w:val="24"/>
        </w:rPr>
        <w:t xml:space="preserve"> </w:t>
      </w:r>
      <w:r w:rsidRPr="009A5BCD">
        <w:rPr>
          <w:sz w:val="24"/>
          <w:szCs w:val="24"/>
        </w:rPr>
        <w:t>«</w:t>
      </w:r>
      <w:r w:rsidR="00D10AA6" w:rsidRPr="009A5BCD">
        <w:rPr>
          <w:sz w:val="24"/>
          <w:szCs w:val="24"/>
        </w:rPr>
        <w:t>ФармВИЛАР</w:t>
      </w:r>
      <w:r w:rsidR="0014773B" w:rsidRPr="009A5BCD">
        <w:rPr>
          <w:sz w:val="24"/>
          <w:szCs w:val="24"/>
        </w:rPr>
        <w:t>», Россия</w:t>
      </w:r>
      <w:r w:rsidR="00417998" w:rsidRPr="009A5BCD">
        <w:rPr>
          <w:sz w:val="24"/>
          <w:szCs w:val="24"/>
        </w:rPr>
        <w:t xml:space="preserve">, </w:t>
      </w:r>
    </w:p>
    <w:p w14:paraId="2196B7D6" w14:textId="533EF941" w:rsidR="00A400CC" w:rsidRDefault="00417998" w:rsidP="00BF4EF8">
      <w:pPr>
        <w:spacing w:after="0" w:line="360" w:lineRule="auto"/>
        <w:contextualSpacing/>
        <w:jc w:val="both"/>
        <w:rPr>
          <w:sz w:val="24"/>
          <w:szCs w:val="24"/>
        </w:rPr>
      </w:pPr>
      <w:r w:rsidRPr="009A5BCD">
        <w:rPr>
          <w:sz w:val="24"/>
          <w:szCs w:val="24"/>
        </w:rPr>
        <w:t>249096, Калужская обл</w:t>
      </w:r>
      <w:r w:rsidR="008A54AD">
        <w:rPr>
          <w:sz w:val="24"/>
          <w:szCs w:val="24"/>
        </w:rPr>
        <w:t>.</w:t>
      </w:r>
      <w:r w:rsidRPr="009A5BCD">
        <w:rPr>
          <w:sz w:val="24"/>
          <w:szCs w:val="24"/>
        </w:rPr>
        <w:t>,</w:t>
      </w:r>
      <w:r w:rsidR="00FE2415">
        <w:rPr>
          <w:sz w:val="24"/>
          <w:szCs w:val="24"/>
        </w:rPr>
        <w:t xml:space="preserve"> Малоярославецкий район,</w:t>
      </w:r>
      <w:r w:rsidRPr="009A5BCD">
        <w:rPr>
          <w:sz w:val="24"/>
          <w:szCs w:val="24"/>
        </w:rPr>
        <w:t xml:space="preserve"> г.</w:t>
      </w:r>
      <w:r w:rsidR="003D53E0">
        <w:rPr>
          <w:sz w:val="24"/>
          <w:szCs w:val="24"/>
        </w:rPr>
        <w:t> </w:t>
      </w:r>
      <w:r w:rsidRPr="009A5BCD">
        <w:rPr>
          <w:sz w:val="24"/>
          <w:szCs w:val="24"/>
        </w:rPr>
        <w:t>Малоярославец, ул.</w:t>
      </w:r>
      <w:r w:rsidR="003D53E0">
        <w:rPr>
          <w:sz w:val="24"/>
          <w:szCs w:val="24"/>
        </w:rPr>
        <w:t> </w:t>
      </w:r>
      <w:r w:rsidRPr="009A5BCD">
        <w:rPr>
          <w:sz w:val="24"/>
          <w:szCs w:val="24"/>
        </w:rPr>
        <w:t>Коммунистическая</w:t>
      </w:r>
      <w:r w:rsidR="00E521EA">
        <w:rPr>
          <w:sz w:val="24"/>
          <w:szCs w:val="24"/>
        </w:rPr>
        <w:t>,</w:t>
      </w:r>
      <w:r w:rsidRPr="009A5BCD">
        <w:rPr>
          <w:sz w:val="24"/>
          <w:szCs w:val="24"/>
        </w:rPr>
        <w:t xml:space="preserve"> д. 115</w:t>
      </w:r>
      <w:r w:rsidR="00912585">
        <w:rPr>
          <w:sz w:val="24"/>
          <w:szCs w:val="24"/>
        </w:rPr>
        <w:t>.</w:t>
      </w:r>
    </w:p>
    <w:p w14:paraId="2E1750EE" w14:textId="77777777" w:rsidR="004E7F61" w:rsidRDefault="00C97A34" w:rsidP="00BF4EF8">
      <w:pPr>
        <w:spacing w:after="0" w:line="360" w:lineRule="auto"/>
        <w:contextualSpacing/>
        <w:jc w:val="both"/>
        <w:rPr>
          <w:sz w:val="24"/>
          <w:szCs w:val="24"/>
        </w:rPr>
      </w:pPr>
      <w:r w:rsidRPr="009A5BCD">
        <w:rPr>
          <w:sz w:val="24"/>
          <w:szCs w:val="24"/>
        </w:rPr>
        <w:t>Тел./факс: + 7 (48431) 2-27-18</w:t>
      </w:r>
      <w:r w:rsidR="00912585">
        <w:rPr>
          <w:sz w:val="24"/>
          <w:szCs w:val="24"/>
        </w:rPr>
        <w:t>.</w:t>
      </w:r>
    </w:p>
    <w:sectPr w:rsidR="004E7F61" w:rsidSect="00AB2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F744" w14:textId="77777777" w:rsidR="00BA535D" w:rsidRDefault="00BA535D" w:rsidP="001E492C">
      <w:pPr>
        <w:spacing w:after="0" w:line="240" w:lineRule="auto"/>
      </w:pPr>
      <w:r>
        <w:separator/>
      </w:r>
    </w:p>
  </w:endnote>
  <w:endnote w:type="continuationSeparator" w:id="0">
    <w:p w14:paraId="6A6B82C0" w14:textId="77777777" w:rsidR="00BA535D" w:rsidRDefault="00BA535D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E6E1" w14:textId="77777777" w:rsidR="00BA535D" w:rsidRDefault="00BA535D" w:rsidP="001E492C">
      <w:pPr>
        <w:spacing w:after="0" w:line="240" w:lineRule="auto"/>
      </w:pPr>
      <w:r>
        <w:separator/>
      </w:r>
    </w:p>
  </w:footnote>
  <w:footnote w:type="continuationSeparator" w:id="0">
    <w:p w14:paraId="6E4B0556" w14:textId="77777777" w:rsidR="00BA535D" w:rsidRDefault="00BA535D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25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28FC91" w14:textId="77777777" w:rsidR="0003467F" w:rsidRDefault="001D61F3">
        <w:pPr>
          <w:pStyle w:val="a6"/>
          <w:jc w:val="right"/>
        </w:pPr>
        <w:r w:rsidRPr="00964F43">
          <w:rPr>
            <w:sz w:val="24"/>
            <w:szCs w:val="24"/>
          </w:rPr>
          <w:fldChar w:fldCharType="begin"/>
        </w:r>
        <w:r w:rsidR="0003467F" w:rsidRPr="00964F43">
          <w:rPr>
            <w:sz w:val="24"/>
            <w:szCs w:val="24"/>
          </w:rPr>
          <w:instrText xml:space="preserve"> PAGE   \* MERGEFORMAT </w:instrText>
        </w:r>
        <w:r w:rsidRPr="00964F43">
          <w:rPr>
            <w:sz w:val="24"/>
            <w:szCs w:val="24"/>
          </w:rPr>
          <w:fldChar w:fldCharType="separate"/>
        </w:r>
        <w:r w:rsidR="00DB16A6">
          <w:rPr>
            <w:noProof/>
            <w:sz w:val="24"/>
            <w:szCs w:val="24"/>
          </w:rPr>
          <w:t>6</w:t>
        </w:r>
        <w:r w:rsidRPr="00964F4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19945793">
    <w:abstractNumId w:val="3"/>
  </w:num>
  <w:num w:numId="2" w16cid:durableId="1398748008">
    <w:abstractNumId w:val="2"/>
  </w:num>
  <w:num w:numId="3" w16cid:durableId="2003317441">
    <w:abstractNumId w:val="1"/>
  </w:num>
  <w:num w:numId="4" w16cid:durableId="146439025">
    <w:abstractNumId w:val="4"/>
  </w:num>
  <w:num w:numId="5" w16cid:durableId="73913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2"/>
    <w:rsid w:val="00000229"/>
    <w:rsid w:val="00003085"/>
    <w:rsid w:val="00021ED6"/>
    <w:rsid w:val="000244ED"/>
    <w:rsid w:val="0003283A"/>
    <w:rsid w:val="0003467F"/>
    <w:rsid w:val="00043729"/>
    <w:rsid w:val="000664C8"/>
    <w:rsid w:val="00066FE7"/>
    <w:rsid w:val="00072553"/>
    <w:rsid w:val="00080B62"/>
    <w:rsid w:val="000844D9"/>
    <w:rsid w:val="00090344"/>
    <w:rsid w:val="000915E3"/>
    <w:rsid w:val="000A1529"/>
    <w:rsid w:val="000B13C0"/>
    <w:rsid w:val="000B3E7C"/>
    <w:rsid w:val="000C147F"/>
    <w:rsid w:val="000C210E"/>
    <w:rsid w:val="000D496C"/>
    <w:rsid w:val="000E0796"/>
    <w:rsid w:val="000E6734"/>
    <w:rsid w:val="000E771A"/>
    <w:rsid w:val="000F5B26"/>
    <w:rsid w:val="000F7830"/>
    <w:rsid w:val="001046C9"/>
    <w:rsid w:val="001057A0"/>
    <w:rsid w:val="00116DD5"/>
    <w:rsid w:val="00123D7F"/>
    <w:rsid w:val="00131569"/>
    <w:rsid w:val="00133DAF"/>
    <w:rsid w:val="00143814"/>
    <w:rsid w:val="00143E11"/>
    <w:rsid w:val="00143E95"/>
    <w:rsid w:val="0014408C"/>
    <w:rsid w:val="0014773B"/>
    <w:rsid w:val="00164514"/>
    <w:rsid w:val="00164D3C"/>
    <w:rsid w:val="00172C7A"/>
    <w:rsid w:val="00175F17"/>
    <w:rsid w:val="00180ADB"/>
    <w:rsid w:val="00185DC7"/>
    <w:rsid w:val="00191999"/>
    <w:rsid w:val="00192891"/>
    <w:rsid w:val="001943CA"/>
    <w:rsid w:val="0019637F"/>
    <w:rsid w:val="00196CCF"/>
    <w:rsid w:val="001974C7"/>
    <w:rsid w:val="001A6814"/>
    <w:rsid w:val="001B2D48"/>
    <w:rsid w:val="001B5AA6"/>
    <w:rsid w:val="001C3661"/>
    <w:rsid w:val="001C5025"/>
    <w:rsid w:val="001D61F3"/>
    <w:rsid w:val="001D7FAD"/>
    <w:rsid w:val="001E2922"/>
    <w:rsid w:val="001E492C"/>
    <w:rsid w:val="001E4DB9"/>
    <w:rsid w:val="001F1F41"/>
    <w:rsid w:val="001F36A7"/>
    <w:rsid w:val="001F6F88"/>
    <w:rsid w:val="001F7104"/>
    <w:rsid w:val="00200651"/>
    <w:rsid w:val="00202E28"/>
    <w:rsid w:val="002214BF"/>
    <w:rsid w:val="00237D07"/>
    <w:rsid w:val="00256FAD"/>
    <w:rsid w:val="00257545"/>
    <w:rsid w:val="0027187C"/>
    <w:rsid w:val="002811D3"/>
    <w:rsid w:val="0029093B"/>
    <w:rsid w:val="002A097F"/>
    <w:rsid w:val="002A4706"/>
    <w:rsid w:val="002A7516"/>
    <w:rsid w:val="002C182D"/>
    <w:rsid w:val="002C6B7B"/>
    <w:rsid w:val="002D4C04"/>
    <w:rsid w:val="002D4EE9"/>
    <w:rsid w:val="002E17CF"/>
    <w:rsid w:val="002E58C1"/>
    <w:rsid w:val="002F372F"/>
    <w:rsid w:val="002F436A"/>
    <w:rsid w:val="002F4DD0"/>
    <w:rsid w:val="00312ED3"/>
    <w:rsid w:val="0031752E"/>
    <w:rsid w:val="003255D4"/>
    <w:rsid w:val="00326D3D"/>
    <w:rsid w:val="0034509B"/>
    <w:rsid w:val="0035189C"/>
    <w:rsid w:val="003626D1"/>
    <w:rsid w:val="00365E0A"/>
    <w:rsid w:val="00370257"/>
    <w:rsid w:val="003730C5"/>
    <w:rsid w:val="003730D9"/>
    <w:rsid w:val="00391D51"/>
    <w:rsid w:val="00394BF3"/>
    <w:rsid w:val="0039563B"/>
    <w:rsid w:val="003A3460"/>
    <w:rsid w:val="003B3817"/>
    <w:rsid w:val="003B527D"/>
    <w:rsid w:val="003D1358"/>
    <w:rsid w:val="003D53E0"/>
    <w:rsid w:val="003D6C59"/>
    <w:rsid w:val="003E167C"/>
    <w:rsid w:val="003E2E9B"/>
    <w:rsid w:val="003E4F04"/>
    <w:rsid w:val="003F35C8"/>
    <w:rsid w:val="003F5956"/>
    <w:rsid w:val="004012A1"/>
    <w:rsid w:val="004023F3"/>
    <w:rsid w:val="00404509"/>
    <w:rsid w:val="004058C7"/>
    <w:rsid w:val="00407A63"/>
    <w:rsid w:val="00417998"/>
    <w:rsid w:val="00421FAB"/>
    <w:rsid w:val="00432E65"/>
    <w:rsid w:val="00443CA5"/>
    <w:rsid w:val="00452742"/>
    <w:rsid w:val="0045291B"/>
    <w:rsid w:val="00453F86"/>
    <w:rsid w:val="00467A1C"/>
    <w:rsid w:val="00482AAD"/>
    <w:rsid w:val="004875CC"/>
    <w:rsid w:val="00490FD7"/>
    <w:rsid w:val="0049262D"/>
    <w:rsid w:val="00493C22"/>
    <w:rsid w:val="004A2978"/>
    <w:rsid w:val="004A66AA"/>
    <w:rsid w:val="004B23C2"/>
    <w:rsid w:val="004B3787"/>
    <w:rsid w:val="004B7C6D"/>
    <w:rsid w:val="004C7AFE"/>
    <w:rsid w:val="004D01E8"/>
    <w:rsid w:val="004E1AA8"/>
    <w:rsid w:val="004E56B4"/>
    <w:rsid w:val="004E7F61"/>
    <w:rsid w:val="004F465D"/>
    <w:rsid w:val="005015C5"/>
    <w:rsid w:val="0050212C"/>
    <w:rsid w:val="00503399"/>
    <w:rsid w:val="00503771"/>
    <w:rsid w:val="00511A38"/>
    <w:rsid w:val="00522975"/>
    <w:rsid w:val="00531FEB"/>
    <w:rsid w:val="00536DB7"/>
    <w:rsid w:val="005433FC"/>
    <w:rsid w:val="00544B66"/>
    <w:rsid w:val="0054578E"/>
    <w:rsid w:val="00550A9A"/>
    <w:rsid w:val="00566ECE"/>
    <w:rsid w:val="0057398D"/>
    <w:rsid w:val="00576FAA"/>
    <w:rsid w:val="00577B8A"/>
    <w:rsid w:val="005A01D3"/>
    <w:rsid w:val="005B0C64"/>
    <w:rsid w:val="005B0C84"/>
    <w:rsid w:val="005B1B30"/>
    <w:rsid w:val="005B60AF"/>
    <w:rsid w:val="005B6B87"/>
    <w:rsid w:val="005C171C"/>
    <w:rsid w:val="005C4321"/>
    <w:rsid w:val="005D3728"/>
    <w:rsid w:val="005D6542"/>
    <w:rsid w:val="005E14B9"/>
    <w:rsid w:val="005E15BA"/>
    <w:rsid w:val="005E2856"/>
    <w:rsid w:val="005E2FDA"/>
    <w:rsid w:val="0060123E"/>
    <w:rsid w:val="00603372"/>
    <w:rsid w:val="00613C33"/>
    <w:rsid w:val="00620BD3"/>
    <w:rsid w:val="006303CA"/>
    <w:rsid w:val="00630C2A"/>
    <w:rsid w:val="0063231E"/>
    <w:rsid w:val="0063525F"/>
    <w:rsid w:val="0063786A"/>
    <w:rsid w:val="00642851"/>
    <w:rsid w:val="00643BC0"/>
    <w:rsid w:val="00653F65"/>
    <w:rsid w:val="0065680C"/>
    <w:rsid w:val="006641F1"/>
    <w:rsid w:val="00676579"/>
    <w:rsid w:val="006801AA"/>
    <w:rsid w:val="006905B0"/>
    <w:rsid w:val="00691E2C"/>
    <w:rsid w:val="006943F9"/>
    <w:rsid w:val="006964B8"/>
    <w:rsid w:val="00696782"/>
    <w:rsid w:val="006A36DA"/>
    <w:rsid w:val="006A77AC"/>
    <w:rsid w:val="006B202C"/>
    <w:rsid w:val="006B76A2"/>
    <w:rsid w:val="006C1960"/>
    <w:rsid w:val="006C39D3"/>
    <w:rsid w:val="006C4226"/>
    <w:rsid w:val="006C676D"/>
    <w:rsid w:val="006D0677"/>
    <w:rsid w:val="006D0DF0"/>
    <w:rsid w:val="006E1AB6"/>
    <w:rsid w:val="006E63C0"/>
    <w:rsid w:val="006F3F70"/>
    <w:rsid w:val="0070590C"/>
    <w:rsid w:val="00710429"/>
    <w:rsid w:val="00715BB5"/>
    <w:rsid w:val="0072139C"/>
    <w:rsid w:val="0073662A"/>
    <w:rsid w:val="00740DA7"/>
    <w:rsid w:val="00750D8F"/>
    <w:rsid w:val="00755352"/>
    <w:rsid w:val="0077445E"/>
    <w:rsid w:val="00774B07"/>
    <w:rsid w:val="0077642B"/>
    <w:rsid w:val="007A405A"/>
    <w:rsid w:val="007A58AD"/>
    <w:rsid w:val="007B4A26"/>
    <w:rsid w:val="007B7E06"/>
    <w:rsid w:val="007C19E7"/>
    <w:rsid w:val="007D5496"/>
    <w:rsid w:val="007E5298"/>
    <w:rsid w:val="007E5406"/>
    <w:rsid w:val="007F226B"/>
    <w:rsid w:val="00816443"/>
    <w:rsid w:val="00822AF2"/>
    <w:rsid w:val="008253DA"/>
    <w:rsid w:val="00826F2B"/>
    <w:rsid w:val="00841CF6"/>
    <w:rsid w:val="008422BA"/>
    <w:rsid w:val="00866661"/>
    <w:rsid w:val="00866EA6"/>
    <w:rsid w:val="008756C8"/>
    <w:rsid w:val="00877755"/>
    <w:rsid w:val="00884BF0"/>
    <w:rsid w:val="00893101"/>
    <w:rsid w:val="008A5360"/>
    <w:rsid w:val="008A54AD"/>
    <w:rsid w:val="008A5B3B"/>
    <w:rsid w:val="008A5DF8"/>
    <w:rsid w:val="008B4CF1"/>
    <w:rsid w:val="008C3E4C"/>
    <w:rsid w:val="008C5274"/>
    <w:rsid w:val="008D1B38"/>
    <w:rsid w:val="008E1B1D"/>
    <w:rsid w:val="008E5E50"/>
    <w:rsid w:val="008F2380"/>
    <w:rsid w:val="00900615"/>
    <w:rsid w:val="00901C8D"/>
    <w:rsid w:val="00910A90"/>
    <w:rsid w:val="00912585"/>
    <w:rsid w:val="00914EB0"/>
    <w:rsid w:val="00917AC4"/>
    <w:rsid w:val="00931820"/>
    <w:rsid w:val="009319F7"/>
    <w:rsid w:val="0093218B"/>
    <w:rsid w:val="00935C05"/>
    <w:rsid w:val="0093640D"/>
    <w:rsid w:val="0094732C"/>
    <w:rsid w:val="00964F43"/>
    <w:rsid w:val="00970B64"/>
    <w:rsid w:val="0098762F"/>
    <w:rsid w:val="00990898"/>
    <w:rsid w:val="009973A8"/>
    <w:rsid w:val="009A5BCD"/>
    <w:rsid w:val="009A5F6F"/>
    <w:rsid w:val="009A67F5"/>
    <w:rsid w:val="009B6244"/>
    <w:rsid w:val="009C5A27"/>
    <w:rsid w:val="009C7DE2"/>
    <w:rsid w:val="009D23F7"/>
    <w:rsid w:val="009E2537"/>
    <w:rsid w:val="009E29E8"/>
    <w:rsid w:val="009F06EE"/>
    <w:rsid w:val="009F1038"/>
    <w:rsid w:val="009F5443"/>
    <w:rsid w:val="009F5467"/>
    <w:rsid w:val="00A121F6"/>
    <w:rsid w:val="00A17070"/>
    <w:rsid w:val="00A22FE0"/>
    <w:rsid w:val="00A26CCD"/>
    <w:rsid w:val="00A321D5"/>
    <w:rsid w:val="00A400CC"/>
    <w:rsid w:val="00A47748"/>
    <w:rsid w:val="00A53803"/>
    <w:rsid w:val="00A53F28"/>
    <w:rsid w:val="00A56DF8"/>
    <w:rsid w:val="00A63609"/>
    <w:rsid w:val="00A67A0D"/>
    <w:rsid w:val="00A7738D"/>
    <w:rsid w:val="00A844F1"/>
    <w:rsid w:val="00A861B0"/>
    <w:rsid w:val="00A863EB"/>
    <w:rsid w:val="00A90AFB"/>
    <w:rsid w:val="00AA34D6"/>
    <w:rsid w:val="00AA7272"/>
    <w:rsid w:val="00AB14FF"/>
    <w:rsid w:val="00AB22ED"/>
    <w:rsid w:val="00AB7AAA"/>
    <w:rsid w:val="00AD5599"/>
    <w:rsid w:val="00AD6425"/>
    <w:rsid w:val="00AE0BA2"/>
    <w:rsid w:val="00AE70AC"/>
    <w:rsid w:val="00AF1E1C"/>
    <w:rsid w:val="00B05119"/>
    <w:rsid w:val="00B10072"/>
    <w:rsid w:val="00B1321B"/>
    <w:rsid w:val="00B166B1"/>
    <w:rsid w:val="00B20497"/>
    <w:rsid w:val="00B21D9F"/>
    <w:rsid w:val="00B23FEC"/>
    <w:rsid w:val="00B336C0"/>
    <w:rsid w:val="00B377FA"/>
    <w:rsid w:val="00B674AF"/>
    <w:rsid w:val="00B84E89"/>
    <w:rsid w:val="00B91F37"/>
    <w:rsid w:val="00B94D42"/>
    <w:rsid w:val="00B9630C"/>
    <w:rsid w:val="00BA4A98"/>
    <w:rsid w:val="00BA535D"/>
    <w:rsid w:val="00BC7145"/>
    <w:rsid w:val="00BD37EF"/>
    <w:rsid w:val="00BD6DF3"/>
    <w:rsid w:val="00BE0923"/>
    <w:rsid w:val="00BE41AF"/>
    <w:rsid w:val="00BF4404"/>
    <w:rsid w:val="00BF4EF8"/>
    <w:rsid w:val="00BF642B"/>
    <w:rsid w:val="00C03273"/>
    <w:rsid w:val="00C11808"/>
    <w:rsid w:val="00C168AD"/>
    <w:rsid w:val="00C1692B"/>
    <w:rsid w:val="00C211BA"/>
    <w:rsid w:val="00C21D23"/>
    <w:rsid w:val="00C2435C"/>
    <w:rsid w:val="00C4580E"/>
    <w:rsid w:val="00C63D1F"/>
    <w:rsid w:val="00C779A8"/>
    <w:rsid w:val="00C877E8"/>
    <w:rsid w:val="00C938AB"/>
    <w:rsid w:val="00C9634B"/>
    <w:rsid w:val="00C97A34"/>
    <w:rsid w:val="00CA51CC"/>
    <w:rsid w:val="00CA6E25"/>
    <w:rsid w:val="00CB0107"/>
    <w:rsid w:val="00CB07F7"/>
    <w:rsid w:val="00CD076B"/>
    <w:rsid w:val="00CF439F"/>
    <w:rsid w:val="00CF69DD"/>
    <w:rsid w:val="00D01624"/>
    <w:rsid w:val="00D07842"/>
    <w:rsid w:val="00D10AA6"/>
    <w:rsid w:val="00D155E9"/>
    <w:rsid w:val="00D16A33"/>
    <w:rsid w:val="00D22A16"/>
    <w:rsid w:val="00D25568"/>
    <w:rsid w:val="00D54798"/>
    <w:rsid w:val="00D7716E"/>
    <w:rsid w:val="00D80B74"/>
    <w:rsid w:val="00D92A1D"/>
    <w:rsid w:val="00D94512"/>
    <w:rsid w:val="00DA3CC4"/>
    <w:rsid w:val="00DA499A"/>
    <w:rsid w:val="00DA6243"/>
    <w:rsid w:val="00DB16A6"/>
    <w:rsid w:val="00DB1A5E"/>
    <w:rsid w:val="00DB625E"/>
    <w:rsid w:val="00DB6646"/>
    <w:rsid w:val="00DB75FE"/>
    <w:rsid w:val="00DC768B"/>
    <w:rsid w:val="00DE7A36"/>
    <w:rsid w:val="00DF085F"/>
    <w:rsid w:val="00DF28B3"/>
    <w:rsid w:val="00E00C9B"/>
    <w:rsid w:val="00E0290D"/>
    <w:rsid w:val="00E03CED"/>
    <w:rsid w:val="00E046CF"/>
    <w:rsid w:val="00E062E1"/>
    <w:rsid w:val="00E117AC"/>
    <w:rsid w:val="00E14C89"/>
    <w:rsid w:val="00E159B5"/>
    <w:rsid w:val="00E17E42"/>
    <w:rsid w:val="00E301CC"/>
    <w:rsid w:val="00E37C3B"/>
    <w:rsid w:val="00E42E16"/>
    <w:rsid w:val="00E508B8"/>
    <w:rsid w:val="00E509BE"/>
    <w:rsid w:val="00E51C14"/>
    <w:rsid w:val="00E521EA"/>
    <w:rsid w:val="00E7535F"/>
    <w:rsid w:val="00E86253"/>
    <w:rsid w:val="00E923FE"/>
    <w:rsid w:val="00E96B25"/>
    <w:rsid w:val="00EA279B"/>
    <w:rsid w:val="00EA68F7"/>
    <w:rsid w:val="00EA75BF"/>
    <w:rsid w:val="00EA7B20"/>
    <w:rsid w:val="00EB0AAD"/>
    <w:rsid w:val="00EB6EF1"/>
    <w:rsid w:val="00EC1936"/>
    <w:rsid w:val="00EC4851"/>
    <w:rsid w:val="00ED5362"/>
    <w:rsid w:val="00EE2683"/>
    <w:rsid w:val="00EE2A6A"/>
    <w:rsid w:val="00EE5663"/>
    <w:rsid w:val="00EF10A7"/>
    <w:rsid w:val="00F01421"/>
    <w:rsid w:val="00F0146F"/>
    <w:rsid w:val="00F068C3"/>
    <w:rsid w:val="00F07A1B"/>
    <w:rsid w:val="00F10FD5"/>
    <w:rsid w:val="00F13400"/>
    <w:rsid w:val="00F21D50"/>
    <w:rsid w:val="00F23323"/>
    <w:rsid w:val="00F5626F"/>
    <w:rsid w:val="00F57143"/>
    <w:rsid w:val="00F61935"/>
    <w:rsid w:val="00F668E3"/>
    <w:rsid w:val="00F84B22"/>
    <w:rsid w:val="00F9354F"/>
    <w:rsid w:val="00FA5461"/>
    <w:rsid w:val="00FA7F98"/>
    <w:rsid w:val="00FC0591"/>
    <w:rsid w:val="00FC5F6A"/>
    <w:rsid w:val="00FD64DB"/>
    <w:rsid w:val="00FE2415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6E01C"/>
  <w15:docId w15:val="{E952E760-CAE6-43A7-A66D-4120DC8A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42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basedOn w:val="a0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nhideWhenUsed/>
    <w:rsid w:val="006964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64B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64B8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64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64B8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0C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003085"/>
    <w:pPr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DEAF-F434-4437-8B5C-3A8BDD44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Роман Бушмин</cp:lastModifiedBy>
  <cp:revision>2</cp:revision>
  <cp:lastPrinted>2020-10-13T08:50:00Z</cp:lastPrinted>
  <dcterms:created xsi:type="dcterms:W3CDTF">2025-07-31T07:46:00Z</dcterms:created>
  <dcterms:modified xsi:type="dcterms:W3CDTF">2025-07-31T07:46:00Z</dcterms:modified>
</cp:coreProperties>
</file>