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732D" w14:textId="77777777" w:rsidR="00073B6F" w:rsidRPr="0052302F" w:rsidRDefault="00CD1251" w:rsidP="005D6542">
      <w:pPr>
        <w:pStyle w:val="Default"/>
        <w:spacing w:line="360" w:lineRule="auto"/>
        <w:jc w:val="center"/>
        <w:rPr>
          <w:bCs/>
          <w:color w:val="auto"/>
        </w:rPr>
      </w:pPr>
      <w:r w:rsidRPr="0052302F">
        <w:rPr>
          <w:bCs/>
          <w:color w:val="auto"/>
        </w:rPr>
        <w:t>ИНСТРУКЦИЯ ПО МЕДИЦИНСКОМУ ПРИМЕНЕНИЮ ЛЕКАРСТВЕННОГО ПРЕПАРАТА</w:t>
      </w:r>
    </w:p>
    <w:p w14:paraId="7CB2749D" w14:textId="5EAB77A0" w:rsidR="005D6542" w:rsidRPr="0052302F" w:rsidRDefault="00566F22" w:rsidP="005D6542">
      <w:pPr>
        <w:pStyle w:val="Default"/>
        <w:spacing w:line="360" w:lineRule="auto"/>
        <w:jc w:val="center"/>
        <w:rPr>
          <w:b/>
          <w:bCs/>
          <w:color w:val="auto"/>
        </w:rPr>
      </w:pPr>
      <w:r>
        <w:rPr>
          <w:rFonts w:eastAsia="Times New Roman"/>
          <w:noProof/>
          <w:color w:val="auto"/>
          <w:lang w:eastAsia="ru-RU"/>
        </w:rPr>
        <w:t>ВИТАПРАЙМ</w:t>
      </w:r>
      <w:r w:rsidRPr="00566F22">
        <w:rPr>
          <w:rFonts w:eastAsia="Times New Roman"/>
          <w:noProof/>
          <w:color w:val="auto"/>
          <w:vertAlign w:val="superscript"/>
          <w:lang w:eastAsia="ru-RU"/>
        </w:rPr>
        <w:t>®</w:t>
      </w:r>
      <w:r w:rsidRPr="00566F22">
        <w:rPr>
          <w:rFonts w:eastAsia="Times New Roman"/>
          <w:noProof/>
          <w:color w:val="auto"/>
          <w:lang w:eastAsia="ru-RU"/>
        </w:rPr>
        <w:t xml:space="preserve"> В6</w:t>
      </w:r>
    </w:p>
    <w:p w14:paraId="6530A11F" w14:textId="77777777" w:rsidR="005D6542" w:rsidRPr="0052302F" w:rsidRDefault="005D6542" w:rsidP="009973A8">
      <w:pPr>
        <w:pStyle w:val="Default"/>
        <w:spacing w:line="360" w:lineRule="auto"/>
        <w:jc w:val="both"/>
        <w:rPr>
          <w:color w:val="auto"/>
        </w:rPr>
      </w:pPr>
      <w:r w:rsidRPr="0052302F">
        <w:rPr>
          <w:b/>
          <w:bCs/>
          <w:color w:val="auto"/>
        </w:rPr>
        <w:t xml:space="preserve">Регистрационный номер: </w:t>
      </w:r>
    </w:p>
    <w:p w14:paraId="15A2064B" w14:textId="629335B3" w:rsidR="005D6542" w:rsidRDefault="005D6542" w:rsidP="009973A8">
      <w:pPr>
        <w:pStyle w:val="Default"/>
        <w:spacing w:line="360" w:lineRule="auto"/>
        <w:jc w:val="both"/>
        <w:rPr>
          <w:color w:val="auto"/>
        </w:rPr>
      </w:pPr>
      <w:r w:rsidRPr="0052302F">
        <w:rPr>
          <w:b/>
          <w:bCs/>
          <w:color w:val="auto"/>
        </w:rPr>
        <w:t xml:space="preserve">Торговое </w:t>
      </w:r>
      <w:r w:rsidR="00CD1251" w:rsidRPr="0052302F">
        <w:rPr>
          <w:b/>
          <w:bCs/>
          <w:color w:val="auto"/>
        </w:rPr>
        <w:t>наименование</w:t>
      </w:r>
      <w:r w:rsidRPr="0052302F">
        <w:rPr>
          <w:b/>
          <w:bCs/>
          <w:color w:val="auto"/>
        </w:rPr>
        <w:t xml:space="preserve">: </w:t>
      </w:r>
      <w:r w:rsidR="00566F22" w:rsidRPr="00566F22">
        <w:rPr>
          <w:color w:val="auto"/>
        </w:rPr>
        <w:t>Витапрайм</w:t>
      </w:r>
      <w:r w:rsidR="00566F22" w:rsidRPr="00566F22">
        <w:rPr>
          <w:color w:val="auto"/>
          <w:vertAlign w:val="superscript"/>
        </w:rPr>
        <w:t>®</w:t>
      </w:r>
      <w:r w:rsidR="00566F22" w:rsidRPr="00566F22">
        <w:rPr>
          <w:color w:val="auto"/>
        </w:rPr>
        <w:t xml:space="preserve"> В6</w:t>
      </w:r>
    </w:p>
    <w:p w14:paraId="447FEC71" w14:textId="702A55FD" w:rsidR="00A068B9" w:rsidRPr="0052302F" w:rsidRDefault="00A068B9" w:rsidP="009973A8">
      <w:pPr>
        <w:pStyle w:val="Default"/>
        <w:spacing w:line="360" w:lineRule="auto"/>
        <w:jc w:val="both"/>
        <w:rPr>
          <w:color w:val="auto"/>
        </w:rPr>
      </w:pPr>
      <w:r w:rsidRPr="005163B8">
        <w:rPr>
          <w:b/>
          <w:bCs/>
          <w:color w:val="auto"/>
        </w:rPr>
        <w:t xml:space="preserve">Международное непатентованное или группировочное или химическое наименование: </w:t>
      </w:r>
      <w:r w:rsidR="005163B8">
        <w:rPr>
          <w:color w:val="auto"/>
        </w:rPr>
        <w:t>м</w:t>
      </w:r>
      <w:r>
        <w:rPr>
          <w:color w:val="auto"/>
        </w:rPr>
        <w:t>агни</w:t>
      </w:r>
      <w:r w:rsidR="00016F0F">
        <w:rPr>
          <w:color w:val="auto"/>
        </w:rPr>
        <w:t>й</w:t>
      </w:r>
      <w:r>
        <w:rPr>
          <w:color w:val="auto"/>
        </w:rPr>
        <w:t xml:space="preserve"> + пи</w:t>
      </w:r>
      <w:r w:rsidR="005163B8">
        <w:rPr>
          <w:color w:val="auto"/>
        </w:rPr>
        <w:t>ридоксин</w:t>
      </w:r>
    </w:p>
    <w:p w14:paraId="17F0F06C" w14:textId="3D301993" w:rsidR="005D6542" w:rsidRPr="0052302F" w:rsidRDefault="005D6542" w:rsidP="00407A63">
      <w:pPr>
        <w:spacing w:after="0" w:line="360" w:lineRule="auto"/>
        <w:jc w:val="both"/>
        <w:rPr>
          <w:bCs/>
          <w:sz w:val="24"/>
          <w:szCs w:val="24"/>
        </w:rPr>
      </w:pPr>
      <w:r w:rsidRPr="0052302F">
        <w:rPr>
          <w:b/>
          <w:bCs/>
          <w:sz w:val="24"/>
          <w:szCs w:val="24"/>
        </w:rPr>
        <w:t>Лекарственная форма:</w:t>
      </w:r>
      <w:r w:rsidR="00566F22" w:rsidRPr="00566F22">
        <w:rPr>
          <w:sz w:val="24"/>
          <w:szCs w:val="24"/>
        </w:rPr>
        <w:t xml:space="preserve"> таблетки, покрытые</w:t>
      </w:r>
      <w:r w:rsidR="00A068B9">
        <w:rPr>
          <w:sz w:val="24"/>
          <w:szCs w:val="24"/>
        </w:rPr>
        <w:t xml:space="preserve"> пленочной</w:t>
      </w:r>
      <w:r w:rsidR="00566F22" w:rsidRPr="00566F22">
        <w:rPr>
          <w:sz w:val="24"/>
          <w:szCs w:val="24"/>
        </w:rPr>
        <w:t xml:space="preserve"> оболочкой.</w:t>
      </w:r>
    </w:p>
    <w:p w14:paraId="7BB4001B" w14:textId="3EAF43CD" w:rsidR="00C63D1F" w:rsidRPr="0052302F" w:rsidRDefault="005D6542" w:rsidP="00407A63">
      <w:pPr>
        <w:pStyle w:val="a3"/>
        <w:spacing w:line="360" w:lineRule="auto"/>
        <w:ind w:firstLine="0"/>
        <w:rPr>
          <w:b/>
          <w:sz w:val="24"/>
          <w:szCs w:val="24"/>
        </w:rPr>
      </w:pPr>
      <w:r w:rsidRPr="0052302F">
        <w:rPr>
          <w:b/>
          <w:sz w:val="24"/>
          <w:szCs w:val="24"/>
        </w:rPr>
        <w:t>Состав</w:t>
      </w:r>
      <w:r w:rsidR="001D366B">
        <w:rPr>
          <w:b/>
          <w:sz w:val="24"/>
          <w:szCs w:val="24"/>
        </w:rPr>
        <w:t xml:space="preserve"> (</w:t>
      </w:r>
      <w:r w:rsidR="006D0677" w:rsidRPr="0052302F">
        <w:rPr>
          <w:b/>
          <w:sz w:val="24"/>
          <w:szCs w:val="24"/>
        </w:rPr>
        <w:t xml:space="preserve">на </w:t>
      </w:r>
      <w:r w:rsidR="001D366B">
        <w:rPr>
          <w:b/>
          <w:sz w:val="24"/>
          <w:szCs w:val="24"/>
        </w:rPr>
        <w:t>одну</w:t>
      </w:r>
      <w:r w:rsidR="006D0677" w:rsidRPr="0052302F">
        <w:rPr>
          <w:b/>
          <w:sz w:val="24"/>
          <w:szCs w:val="24"/>
        </w:rPr>
        <w:t xml:space="preserve"> </w:t>
      </w:r>
      <w:r w:rsidR="00E67FA2" w:rsidRPr="0052302F">
        <w:rPr>
          <w:b/>
          <w:sz w:val="24"/>
          <w:szCs w:val="24"/>
        </w:rPr>
        <w:t>таблетку</w:t>
      </w:r>
      <w:r w:rsidR="001D366B">
        <w:rPr>
          <w:b/>
          <w:sz w:val="24"/>
          <w:szCs w:val="24"/>
        </w:rPr>
        <w:t>)</w:t>
      </w:r>
      <w:r w:rsidR="00CD1251" w:rsidRPr="0052302F">
        <w:rPr>
          <w:b/>
          <w:sz w:val="24"/>
          <w:szCs w:val="24"/>
        </w:rPr>
        <w:t>:</w:t>
      </w:r>
    </w:p>
    <w:p w14:paraId="4374FC5A" w14:textId="6107FA96" w:rsidR="003F5956" w:rsidRPr="0052302F" w:rsidRDefault="00CD1251" w:rsidP="003F5956">
      <w:pPr>
        <w:pStyle w:val="aa"/>
        <w:suppressAutoHyphens/>
        <w:spacing w:line="360" w:lineRule="auto"/>
        <w:ind w:firstLine="708"/>
        <w:jc w:val="both"/>
        <w:rPr>
          <w:i/>
          <w:sz w:val="24"/>
          <w:szCs w:val="24"/>
        </w:rPr>
      </w:pPr>
      <w:bookmarkStart w:id="0" w:name="_Hlk31961059"/>
      <w:r w:rsidRPr="0052302F">
        <w:rPr>
          <w:i/>
          <w:sz w:val="24"/>
          <w:szCs w:val="24"/>
        </w:rPr>
        <w:t>Действующ</w:t>
      </w:r>
      <w:r w:rsidR="00B16040">
        <w:rPr>
          <w:i/>
          <w:sz w:val="24"/>
          <w:szCs w:val="24"/>
        </w:rPr>
        <w:t>и</w:t>
      </w:r>
      <w:r w:rsidRPr="0052302F">
        <w:rPr>
          <w:i/>
          <w:sz w:val="24"/>
          <w:szCs w:val="24"/>
        </w:rPr>
        <w:t>е</w:t>
      </w:r>
      <w:r w:rsidR="002F372F" w:rsidRPr="0052302F">
        <w:rPr>
          <w:i/>
          <w:sz w:val="24"/>
          <w:szCs w:val="24"/>
        </w:rPr>
        <w:t xml:space="preserve"> веществ</w:t>
      </w:r>
      <w:r w:rsidR="00B16040">
        <w:rPr>
          <w:i/>
          <w:sz w:val="24"/>
          <w:szCs w:val="24"/>
        </w:rPr>
        <w:t>а</w:t>
      </w:r>
      <w:r w:rsidR="002F372F" w:rsidRPr="0052302F">
        <w:rPr>
          <w:i/>
          <w:sz w:val="24"/>
          <w:szCs w:val="24"/>
        </w:rPr>
        <w:t>:</w:t>
      </w:r>
    </w:p>
    <w:p w14:paraId="37B315FC" w14:textId="61ADFAB8" w:rsidR="00566F22" w:rsidRPr="00566F22" w:rsidRDefault="00566F22" w:rsidP="00566F22">
      <w:pPr>
        <w:pStyle w:val="aa"/>
        <w:suppressAutoHyphens/>
        <w:spacing w:line="360" w:lineRule="auto"/>
        <w:ind w:firstLine="708"/>
        <w:jc w:val="both"/>
        <w:rPr>
          <w:iCs/>
          <w:sz w:val="24"/>
          <w:szCs w:val="24"/>
        </w:rPr>
      </w:pPr>
      <w:r w:rsidRPr="00566F22">
        <w:rPr>
          <w:iCs/>
          <w:sz w:val="24"/>
          <w:szCs w:val="24"/>
        </w:rPr>
        <w:t>Магния цитрат безводный</w:t>
      </w:r>
      <w:r>
        <w:rPr>
          <w:iCs/>
          <w:sz w:val="24"/>
          <w:szCs w:val="24"/>
        </w:rPr>
        <w:t xml:space="preserve"> </w:t>
      </w:r>
      <w:r w:rsidRPr="00566F22">
        <w:rPr>
          <w:iCs/>
          <w:sz w:val="24"/>
          <w:szCs w:val="24"/>
        </w:rPr>
        <w:t>(эквивалентно содержанию магния Mg</w:t>
      </w:r>
      <w:r w:rsidRPr="00566F22">
        <w:rPr>
          <w:iCs/>
          <w:sz w:val="24"/>
          <w:szCs w:val="24"/>
          <w:vertAlign w:val="superscript"/>
        </w:rPr>
        <w:t>2+</w:t>
      </w:r>
      <w:r w:rsidRPr="00566F22">
        <w:rPr>
          <w:iCs/>
          <w:sz w:val="24"/>
          <w:szCs w:val="24"/>
        </w:rPr>
        <w:t>)</w:t>
      </w:r>
      <w:r>
        <w:rPr>
          <w:iCs/>
          <w:sz w:val="24"/>
          <w:szCs w:val="24"/>
        </w:rPr>
        <w:t xml:space="preserve"> – </w:t>
      </w:r>
      <w:r w:rsidR="00FB7104">
        <w:rPr>
          <w:iCs/>
          <w:sz w:val="24"/>
          <w:szCs w:val="24"/>
        </w:rPr>
        <w:t>305</w:t>
      </w:r>
      <w:r w:rsidRPr="00566F22">
        <w:rPr>
          <w:iCs/>
          <w:sz w:val="24"/>
          <w:szCs w:val="24"/>
        </w:rPr>
        <w:t>,0</w:t>
      </w:r>
      <w:r>
        <w:rPr>
          <w:iCs/>
          <w:sz w:val="24"/>
          <w:szCs w:val="24"/>
        </w:rPr>
        <w:t> </w:t>
      </w:r>
      <w:r w:rsidRPr="00566F22">
        <w:rPr>
          <w:iCs/>
          <w:sz w:val="24"/>
          <w:szCs w:val="24"/>
        </w:rPr>
        <w:t>мг</w:t>
      </w:r>
      <w:r>
        <w:rPr>
          <w:iCs/>
          <w:sz w:val="24"/>
          <w:szCs w:val="24"/>
        </w:rPr>
        <w:t xml:space="preserve"> (</w:t>
      </w:r>
      <w:r w:rsidRPr="00566F22">
        <w:rPr>
          <w:iCs/>
          <w:sz w:val="24"/>
          <w:szCs w:val="24"/>
        </w:rPr>
        <w:t>48,0</w:t>
      </w:r>
      <w:r>
        <w:rPr>
          <w:iCs/>
          <w:sz w:val="24"/>
          <w:szCs w:val="24"/>
        </w:rPr>
        <w:t> </w:t>
      </w:r>
      <w:r w:rsidRPr="00566F22">
        <w:rPr>
          <w:iCs/>
          <w:sz w:val="24"/>
          <w:szCs w:val="24"/>
        </w:rPr>
        <w:t>мг</w:t>
      </w:r>
      <w:r>
        <w:rPr>
          <w:iCs/>
          <w:sz w:val="24"/>
          <w:szCs w:val="24"/>
        </w:rPr>
        <w:t>), п</w:t>
      </w:r>
      <w:r w:rsidRPr="00566F22">
        <w:rPr>
          <w:iCs/>
          <w:sz w:val="24"/>
          <w:szCs w:val="24"/>
        </w:rPr>
        <w:t>иридоксина гидрохлорид</w:t>
      </w:r>
      <w:r>
        <w:rPr>
          <w:iCs/>
          <w:sz w:val="24"/>
          <w:szCs w:val="24"/>
        </w:rPr>
        <w:t xml:space="preserve"> – </w:t>
      </w:r>
      <w:r w:rsidRPr="00566F22">
        <w:rPr>
          <w:iCs/>
          <w:sz w:val="24"/>
          <w:szCs w:val="24"/>
        </w:rPr>
        <w:t>5,0 мг</w:t>
      </w:r>
      <w:r>
        <w:rPr>
          <w:iCs/>
          <w:sz w:val="24"/>
          <w:szCs w:val="24"/>
        </w:rPr>
        <w:t>.</w:t>
      </w:r>
    </w:p>
    <w:p w14:paraId="345F7ED3" w14:textId="00C243E3" w:rsidR="0052302F" w:rsidRPr="0052302F" w:rsidRDefault="003F5956" w:rsidP="0052302F">
      <w:pPr>
        <w:pStyle w:val="aa"/>
        <w:suppressAutoHyphens/>
        <w:spacing w:line="360" w:lineRule="auto"/>
        <w:ind w:firstLine="708"/>
        <w:jc w:val="both"/>
        <w:rPr>
          <w:i/>
          <w:sz w:val="24"/>
          <w:szCs w:val="24"/>
        </w:rPr>
      </w:pPr>
      <w:r w:rsidRPr="0052302F">
        <w:rPr>
          <w:i/>
          <w:sz w:val="24"/>
          <w:szCs w:val="24"/>
        </w:rPr>
        <w:t>Вспомогательн</w:t>
      </w:r>
      <w:r w:rsidR="00E67FA2" w:rsidRPr="0052302F">
        <w:rPr>
          <w:i/>
          <w:sz w:val="24"/>
          <w:szCs w:val="24"/>
        </w:rPr>
        <w:t>ы</w:t>
      </w:r>
      <w:r w:rsidRPr="0052302F">
        <w:rPr>
          <w:i/>
          <w:sz w:val="24"/>
          <w:szCs w:val="24"/>
        </w:rPr>
        <w:t>е веществ</w:t>
      </w:r>
      <w:r w:rsidR="00E67FA2" w:rsidRPr="0052302F">
        <w:rPr>
          <w:i/>
          <w:sz w:val="24"/>
          <w:szCs w:val="24"/>
        </w:rPr>
        <w:t>а</w:t>
      </w:r>
      <w:r w:rsidRPr="0052302F">
        <w:rPr>
          <w:i/>
          <w:sz w:val="24"/>
          <w:szCs w:val="24"/>
        </w:rPr>
        <w:t>:</w:t>
      </w:r>
    </w:p>
    <w:p w14:paraId="2A51A78D" w14:textId="2853CEF6" w:rsidR="00BF2534" w:rsidRPr="00BF2534" w:rsidRDefault="00BF2534" w:rsidP="00BF2534">
      <w:pPr>
        <w:spacing w:after="0" w:line="360" w:lineRule="auto"/>
        <w:ind w:firstLine="708"/>
        <w:jc w:val="both"/>
        <w:rPr>
          <w:sz w:val="24"/>
          <w:szCs w:val="24"/>
        </w:rPr>
      </w:pPr>
      <w:bookmarkStart w:id="1" w:name="_Hlk31964866"/>
      <w:bookmarkEnd w:id="0"/>
      <w:r w:rsidRPr="00BF2534">
        <w:rPr>
          <w:sz w:val="24"/>
          <w:szCs w:val="24"/>
        </w:rPr>
        <w:t>Лактозы моногидрат – 197,1 мг; гидроксипропилцеллюлоза – 65,0 мг; макрогол 6000 – 60,0 мг; натрия</w:t>
      </w:r>
      <w:r w:rsidR="003D2FE0">
        <w:rPr>
          <w:sz w:val="24"/>
          <w:szCs w:val="24"/>
        </w:rPr>
        <w:t xml:space="preserve"> крахмалгликолят</w:t>
      </w:r>
      <w:r w:rsidRPr="00BF2534">
        <w:rPr>
          <w:sz w:val="24"/>
          <w:szCs w:val="24"/>
        </w:rPr>
        <w:t xml:space="preserve"> – 20,0 мг; магния стеарат – 7,1 мг, тальк – 5,8 мг.</w:t>
      </w:r>
    </w:p>
    <w:p w14:paraId="1995A28B" w14:textId="77777777" w:rsidR="00BF2534" w:rsidRPr="00BF2534" w:rsidRDefault="00BF2534" w:rsidP="00BF2534">
      <w:pPr>
        <w:spacing w:after="0" w:line="360" w:lineRule="auto"/>
        <w:ind w:firstLine="708"/>
        <w:jc w:val="both"/>
        <w:rPr>
          <w:i/>
          <w:iCs/>
          <w:sz w:val="24"/>
          <w:szCs w:val="24"/>
        </w:rPr>
      </w:pPr>
      <w:r w:rsidRPr="00BF2534">
        <w:rPr>
          <w:i/>
          <w:iCs/>
          <w:sz w:val="24"/>
          <w:szCs w:val="24"/>
        </w:rPr>
        <w:t>Состав оболочки:</w:t>
      </w:r>
    </w:p>
    <w:p w14:paraId="6E4F99B0" w14:textId="103439BB" w:rsidR="00912E20" w:rsidRDefault="00912E20" w:rsidP="00BF2534">
      <w:pPr>
        <w:pStyle w:val="aa"/>
        <w:suppressAutoHyphens/>
        <w:spacing w:line="360" w:lineRule="auto"/>
        <w:ind w:firstLine="708"/>
        <w:jc w:val="both"/>
        <w:rPr>
          <w:sz w:val="24"/>
          <w:szCs w:val="24"/>
        </w:rPr>
      </w:pPr>
      <w:r>
        <w:rPr>
          <w:sz w:val="24"/>
          <w:szCs w:val="24"/>
        </w:rPr>
        <w:t>Поливиниловый спирт – 21,105 мг; макрогол 6000 – 16,065 мг; тальк – 7,830 мг.</w:t>
      </w:r>
    </w:p>
    <w:bookmarkEnd w:id="1"/>
    <w:p w14:paraId="31E6DE2D" w14:textId="77777777" w:rsidR="003730D9" w:rsidRPr="0052302F" w:rsidRDefault="00164D3C" w:rsidP="003F5956">
      <w:pPr>
        <w:pStyle w:val="aa"/>
        <w:suppressAutoHyphens/>
        <w:spacing w:line="360" w:lineRule="auto"/>
        <w:jc w:val="both"/>
        <w:rPr>
          <w:b/>
          <w:sz w:val="24"/>
          <w:szCs w:val="24"/>
        </w:rPr>
      </w:pPr>
      <w:r w:rsidRPr="0052302F">
        <w:rPr>
          <w:b/>
          <w:sz w:val="24"/>
          <w:szCs w:val="24"/>
        </w:rPr>
        <w:t>Описание</w:t>
      </w:r>
    </w:p>
    <w:p w14:paraId="00E62ADC" w14:textId="23BC605A" w:rsidR="003F5956" w:rsidRPr="0052302F" w:rsidRDefault="00241CC8" w:rsidP="00493C22">
      <w:pPr>
        <w:shd w:val="clear" w:color="auto" w:fill="FFFFFF"/>
        <w:spacing w:after="0" w:line="360" w:lineRule="auto"/>
        <w:ind w:firstLine="708"/>
        <w:jc w:val="both"/>
        <w:rPr>
          <w:rFonts w:eastAsia="Times New Roman"/>
          <w:sz w:val="24"/>
          <w:szCs w:val="24"/>
          <w:lang w:eastAsia="ru-RU"/>
        </w:rPr>
      </w:pPr>
      <w:r w:rsidRPr="00241CC8">
        <w:rPr>
          <w:rFonts w:eastAsia="Times New Roman"/>
          <w:sz w:val="24"/>
          <w:szCs w:val="24"/>
          <w:lang w:eastAsia="ru-RU"/>
        </w:rPr>
        <w:t>Круглые двояковыпуклые таблетки, покрытые</w:t>
      </w:r>
      <w:r w:rsidR="00A068B9">
        <w:rPr>
          <w:rFonts w:eastAsia="Times New Roman"/>
          <w:sz w:val="24"/>
          <w:szCs w:val="24"/>
          <w:lang w:eastAsia="ru-RU"/>
        </w:rPr>
        <w:t xml:space="preserve"> пленочной</w:t>
      </w:r>
      <w:r w:rsidRPr="00241CC8">
        <w:rPr>
          <w:rFonts w:eastAsia="Times New Roman"/>
          <w:sz w:val="24"/>
          <w:szCs w:val="24"/>
          <w:lang w:eastAsia="ru-RU"/>
        </w:rPr>
        <w:t xml:space="preserve"> оболочкой белого цвета</w:t>
      </w:r>
      <w:r w:rsidR="009C1FDD">
        <w:rPr>
          <w:rFonts w:eastAsia="Times New Roman"/>
          <w:sz w:val="24"/>
          <w:szCs w:val="24"/>
          <w:lang w:eastAsia="ru-RU"/>
        </w:rPr>
        <w:t xml:space="preserve">, </w:t>
      </w:r>
      <w:r w:rsidR="009C1FDD" w:rsidRPr="009C1FDD">
        <w:rPr>
          <w:rFonts w:eastAsia="Times New Roman"/>
          <w:sz w:val="24"/>
          <w:szCs w:val="24"/>
          <w:lang w:eastAsia="ru-RU"/>
        </w:rPr>
        <w:t>допускаются более темные или более светлые вкрапления</w:t>
      </w:r>
      <w:r w:rsidRPr="00241CC8">
        <w:rPr>
          <w:rFonts w:eastAsia="Times New Roman"/>
          <w:sz w:val="24"/>
          <w:szCs w:val="24"/>
          <w:lang w:eastAsia="ru-RU"/>
        </w:rPr>
        <w:t>.</w:t>
      </w:r>
    </w:p>
    <w:p w14:paraId="1906EA7A" w14:textId="7A269E8A" w:rsidR="005D6542" w:rsidRPr="00566F22" w:rsidRDefault="005D6542" w:rsidP="00407A63">
      <w:pPr>
        <w:shd w:val="clear" w:color="auto" w:fill="FFFFFF"/>
        <w:spacing w:after="0" w:line="360" w:lineRule="auto"/>
        <w:jc w:val="both"/>
        <w:rPr>
          <w:sz w:val="24"/>
          <w:szCs w:val="24"/>
        </w:rPr>
      </w:pPr>
      <w:r w:rsidRPr="0052302F">
        <w:rPr>
          <w:b/>
          <w:bCs/>
          <w:sz w:val="24"/>
          <w:szCs w:val="24"/>
        </w:rPr>
        <w:t>Фармакотерапевтическая группа:</w:t>
      </w:r>
      <w:r w:rsidR="00241CC8">
        <w:rPr>
          <w:b/>
          <w:bCs/>
          <w:sz w:val="24"/>
          <w:szCs w:val="24"/>
        </w:rPr>
        <w:t xml:space="preserve"> </w:t>
      </w:r>
      <w:r w:rsidR="003F6F3F" w:rsidRPr="00BF15E8">
        <w:rPr>
          <w:sz w:val="24"/>
          <w:szCs w:val="24"/>
        </w:rPr>
        <w:t>минеральные добавки; другие минеральные добавки; препараты магния.</w:t>
      </w:r>
    </w:p>
    <w:p w14:paraId="395E18C6" w14:textId="557B3DC7" w:rsidR="005D6542" w:rsidRPr="003F6F3F" w:rsidRDefault="005D6542" w:rsidP="00407A63">
      <w:pPr>
        <w:pStyle w:val="Default"/>
        <w:spacing w:line="360" w:lineRule="auto"/>
        <w:jc w:val="both"/>
        <w:rPr>
          <w:bCs/>
          <w:color w:val="auto"/>
          <w:sz w:val="26"/>
          <w:szCs w:val="26"/>
        </w:rPr>
      </w:pPr>
      <w:r w:rsidRPr="0052302F">
        <w:rPr>
          <w:b/>
          <w:bCs/>
          <w:color w:val="auto"/>
        </w:rPr>
        <w:t xml:space="preserve">Код АТХ: </w:t>
      </w:r>
      <w:r w:rsidR="00241CC8" w:rsidRPr="00241CC8">
        <w:rPr>
          <w:color w:val="auto"/>
          <w:lang w:val="en-US"/>
        </w:rPr>
        <w:t>A</w:t>
      </w:r>
      <w:r w:rsidR="00241CC8" w:rsidRPr="00241CC8">
        <w:rPr>
          <w:color w:val="auto"/>
        </w:rPr>
        <w:t>1</w:t>
      </w:r>
      <w:r w:rsidR="003F6F3F">
        <w:rPr>
          <w:color w:val="auto"/>
        </w:rPr>
        <w:t>2</w:t>
      </w:r>
      <w:r w:rsidR="003F6F3F">
        <w:rPr>
          <w:color w:val="auto"/>
          <w:lang w:val="en-US"/>
        </w:rPr>
        <w:t>CC</w:t>
      </w:r>
    </w:p>
    <w:p w14:paraId="69E929B9" w14:textId="77777777" w:rsidR="00AD5599" w:rsidRPr="0052302F" w:rsidRDefault="005D6542" w:rsidP="005D6542">
      <w:pPr>
        <w:spacing w:after="0" w:line="360" w:lineRule="auto"/>
        <w:jc w:val="both"/>
        <w:rPr>
          <w:rFonts w:eastAsia="Times New Roman"/>
          <w:b/>
          <w:bCs/>
          <w:sz w:val="24"/>
          <w:szCs w:val="24"/>
          <w:lang w:eastAsia="ru-RU"/>
        </w:rPr>
      </w:pPr>
      <w:bookmarkStart w:id="2" w:name="PhAct"/>
      <w:r w:rsidRPr="0052302F">
        <w:rPr>
          <w:rFonts w:eastAsia="Times New Roman"/>
          <w:b/>
          <w:bCs/>
          <w:sz w:val="24"/>
          <w:szCs w:val="24"/>
          <w:lang w:eastAsia="ru-RU"/>
        </w:rPr>
        <w:t xml:space="preserve">Фармакологические </w:t>
      </w:r>
      <w:bookmarkEnd w:id="2"/>
      <w:r w:rsidR="00164D3C" w:rsidRPr="0052302F">
        <w:rPr>
          <w:rFonts w:eastAsia="Times New Roman"/>
          <w:b/>
          <w:bCs/>
          <w:sz w:val="24"/>
          <w:szCs w:val="24"/>
          <w:lang w:eastAsia="ru-RU"/>
        </w:rPr>
        <w:t>свойства</w:t>
      </w:r>
      <w:r w:rsidR="00200651" w:rsidRPr="0052302F">
        <w:rPr>
          <w:rFonts w:eastAsia="Times New Roman"/>
          <w:b/>
          <w:bCs/>
          <w:sz w:val="24"/>
          <w:szCs w:val="24"/>
          <w:lang w:eastAsia="ru-RU"/>
        </w:rPr>
        <w:t xml:space="preserve"> </w:t>
      </w:r>
    </w:p>
    <w:p w14:paraId="30F292CC" w14:textId="77777777" w:rsidR="00F0146F" w:rsidRPr="0052302F" w:rsidRDefault="00F0146F" w:rsidP="00AD5599">
      <w:pPr>
        <w:spacing w:after="0" w:line="360" w:lineRule="auto"/>
        <w:ind w:firstLine="708"/>
        <w:jc w:val="both"/>
        <w:rPr>
          <w:b/>
          <w:i/>
          <w:sz w:val="24"/>
          <w:szCs w:val="24"/>
        </w:rPr>
      </w:pPr>
      <w:r w:rsidRPr="0052302F">
        <w:rPr>
          <w:b/>
          <w:i/>
          <w:sz w:val="24"/>
          <w:szCs w:val="24"/>
        </w:rPr>
        <w:t>Фармакодинамика</w:t>
      </w:r>
    </w:p>
    <w:p w14:paraId="78B03F88" w14:textId="51FC248F" w:rsidR="006D3277" w:rsidRDefault="00241CC8" w:rsidP="00241CC8">
      <w:pPr>
        <w:spacing w:after="0" w:line="360" w:lineRule="auto"/>
        <w:ind w:firstLine="708"/>
        <w:jc w:val="both"/>
        <w:rPr>
          <w:sz w:val="24"/>
          <w:szCs w:val="24"/>
        </w:rPr>
      </w:pPr>
      <w:r w:rsidRPr="00241CC8">
        <w:rPr>
          <w:sz w:val="24"/>
          <w:szCs w:val="24"/>
        </w:rPr>
        <w:t>Магний является жизненно важным элементом</w:t>
      </w:r>
      <w:r w:rsidR="00200093">
        <w:rPr>
          <w:sz w:val="24"/>
          <w:szCs w:val="24"/>
        </w:rPr>
        <w:t>,</w:t>
      </w:r>
      <w:r w:rsidRPr="00241CC8">
        <w:rPr>
          <w:sz w:val="24"/>
          <w:szCs w:val="24"/>
        </w:rPr>
        <w:t xml:space="preserve"> который</w:t>
      </w:r>
      <w:r w:rsidR="006D3277">
        <w:rPr>
          <w:sz w:val="24"/>
          <w:szCs w:val="24"/>
        </w:rPr>
        <w:t xml:space="preserve"> н</w:t>
      </w:r>
      <w:r w:rsidR="0068208B">
        <w:rPr>
          <w:sz w:val="24"/>
          <w:szCs w:val="24"/>
        </w:rPr>
        <w:t>аходится во всех тканях организма и необходим для нормального функционирования клеток, участвует в большинстве реакций обмена веществ. В частности, он участвует в регуляции передачи нервных импульсов и в сокращении мышц. Организм получает магний вместе с пищей. Недостаток магния в организме может наблюдаться при нарушении режима питания (диета), при увеличении потребности в магнии или при дисбалансе поступления, метаболизма и выведения магния (например, при повышенной физической и умственной нагрузке, стрессе, в период беременности, при применении диуретиков). Пиридоксин (витамин В</w:t>
      </w:r>
      <w:r w:rsidR="0068208B" w:rsidRPr="0068208B">
        <w:rPr>
          <w:sz w:val="24"/>
          <w:szCs w:val="24"/>
          <w:vertAlign w:val="subscript"/>
        </w:rPr>
        <w:t>6</w:t>
      </w:r>
      <w:r w:rsidR="0068208B">
        <w:rPr>
          <w:sz w:val="24"/>
          <w:szCs w:val="24"/>
        </w:rPr>
        <w:t xml:space="preserve">) участвует во многих метаболических процессах, в регуляции метаболизма </w:t>
      </w:r>
      <w:r w:rsidR="0068208B">
        <w:rPr>
          <w:sz w:val="24"/>
          <w:szCs w:val="24"/>
        </w:rPr>
        <w:lastRenderedPageBreak/>
        <w:t>нервной системы. Витамин В6 улучшает всасывание магния из желудочно-кишечного тракта и его проникновение в клетки.</w:t>
      </w:r>
    </w:p>
    <w:p w14:paraId="51135D49" w14:textId="15A3E9D1" w:rsidR="005F325D" w:rsidRDefault="005F325D" w:rsidP="00241CC8">
      <w:pPr>
        <w:spacing w:after="0" w:line="360" w:lineRule="auto"/>
        <w:ind w:firstLine="708"/>
        <w:jc w:val="both"/>
        <w:rPr>
          <w:sz w:val="24"/>
          <w:szCs w:val="24"/>
        </w:rPr>
      </w:pPr>
      <w:r>
        <w:rPr>
          <w:sz w:val="24"/>
          <w:szCs w:val="24"/>
        </w:rPr>
        <w:t>Содержание магния в сыворотке:</w:t>
      </w:r>
    </w:p>
    <w:p w14:paraId="4C4DA229" w14:textId="24AC7D8F" w:rsidR="005F325D" w:rsidRDefault="005F325D" w:rsidP="00241CC8">
      <w:pPr>
        <w:spacing w:after="0" w:line="360" w:lineRule="auto"/>
        <w:ind w:firstLine="708"/>
        <w:jc w:val="both"/>
        <w:rPr>
          <w:sz w:val="24"/>
          <w:szCs w:val="24"/>
        </w:rPr>
      </w:pPr>
      <w:r>
        <w:rPr>
          <w:sz w:val="24"/>
          <w:szCs w:val="24"/>
        </w:rPr>
        <w:t>- от 12 до 17 мг/л 90,5 – 0,7 ммоль/л) – умеренная недостаточность магния;</w:t>
      </w:r>
    </w:p>
    <w:p w14:paraId="08599957" w14:textId="226C99BF" w:rsidR="005F325D" w:rsidRDefault="005F325D" w:rsidP="00241CC8">
      <w:pPr>
        <w:spacing w:after="0" w:line="360" w:lineRule="auto"/>
        <w:ind w:firstLine="708"/>
        <w:jc w:val="both"/>
        <w:rPr>
          <w:sz w:val="24"/>
          <w:szCs w:val="24"/>
        </w:rPr>
      </w:pPr>
      <w:r>
        <w:rPr>
          <w:sz w:val="24"/>
          <w:szCs w:val="24"/>
        </w:rPr>
        <w:t>- ниже 12 мг/л (0,5 ммоль/л) – тяжелый дефицит магния.</w:t>
      </w:r>
    </w:p>
    <w:p w14:paraId="5BFB5543" w14:textId="77777777" w:rsidR="00164D3C" w:rsidRPr="00CC0393" w:rsidRDefault="005D6542" w:rsidP="000E4BF9">
      <w:pPr>
        <w:keepNext/>
        <w:spacing w:after="0" w:line="360" w:lineRule="auto"/>
        <w:ind w:firstLine="709"/>
        <w:jc w:val="both"/>
        <w:rPr>
          <w:rFonts w:eastAsia="Times New Roman"/>
          <w:b/>
          <w:bCs/>
          <w:i/>
          <w:sz w:val="24"/>
          <w:szCs w:val="24"/>
          <w:lang w:eastAsia="ru-RU"/>
        </w:rPr>
      </w:pPr>
      <w:bookmarkStart w:id="3" w:name="PhKin"/>
      <w:r w:rsidRPr="0052302F">
        <w:rPr>
          <w:rFonts w:eastAsia="Times New Roman"/>
          <w:b/>
          <w:bCs/>
          <w:i/>
          <w:sz w:val="24"/>
          <w:szCs w:val="24"/>
          <w:lang w:eastAsia="ru-RU"/>
        </w:rPr>
        <w:t>Фармакокинетика</w:t>
      </w:r>
      <w:bookmarkEnd w:id="3"/>
    </w:p>
    <w:p w14:paraId="30A521B4" w14:textId="01CBE297" w:rsidR="005F325D" w:rsidRDefault="005F325D" w:rsidP="009B71A9">
      <w:pPr>
        <w:spacing w:after="0" w:line="360" w:lineRule="auto"/>
        <w:ind w:firstLine="708"/>
        <w:jc w:val="both"/>
        <w:rPr>
          <w:rFonts w:eastAsia="Times New Roman"/>
          <w:bCs/>
          <w:sz w:val="24"/>
          <w:szCs w:val="24"/>
          <w:lang w:eastAsia="ru-RU"/>
        </w:rPr>
      </w:pPr>
      <w:r>
        <w:rPr>
          <w:rFonts w:eastAsia="Times New Roman"/>
          <w:bCs/>
          <w:sz w:val="24"/>
          <w:szCs w:val="24"/>
          <w:lang w:eastAsia="ru-RU"/>
        </w:rPr>
        <w:t xml:space="preserve">Всасывание магния в желудочно-кишечном тракте составляет не более 50 % от принимаемой внутрь дозы. 99 % магния в организме находится внутри клеток. Примерно 2/3 внутриклеточного магния распределяется в костной ткани, 1/3 находится в гладкой и </w:t>
      </w:r>
      <w:r w:rsidR="009C69A4">
        <w:rPr>
          <w:rFonts w:eastAsia="Times New Roman"/>
          <w:bCs/>
          <w:sz w:val="24"/>
          <w:szCs w:val="24"/>
          <w:lang w:eastAsia="ru-RU"/>
        </w:rPr>
        <w:t>поперечнополосатой</w:t>
      </w:r>
      <w:r>
        <w:rPr>
          <w:rFonts w:eastAsia="Times New Roman"/>
          <w:bCs/>
          <w:sz w:val="24"/>
          <w:szCs w:val="24"/>
          <w:lang w:eastAsia="ru-RU"/>
        </w:rPr>
        <w:t xml:space="preserve"> мышечной ткани. Магний выводится преимущественно с мочой (по меньшей мере, 1/3 от принятой дозы магния).</w:t>
      </w:r>
    </w:p>
    <w:p w14:paraId="4099F1C7" w14:textId="77777777" w:rsidR="00503771" w:rsidRPr="00CC0393" w:rsidRDefault="005D6542" w:rsidP="00503771">
      <w:pPr>
        <w:spacing w:after="0" w:line="360" w:lineRule="auto"/>
        <w:jc w:val="both"/>
        <w:rPr>
          <w:rFonts w:eastAsia="Times New Roman"/>
          <w:b/>
          <w:bCs/>
          <w:sz w:val="24"/>
          <w:szCs w:val="24"/>
          <w:lang w:eastAsia="ru-RU"/>
        </w:rPr>
      </w:pPr>
      <w:bookmarkStart w:id="4" w:name="Indication"/>
      <w:r w:rsidRPr="00CC0393">
        <w:rPr>
          <w:rFonts w:eastAsia="Times New Roman"/>
          <w:b/>
          <w:bCs/>
          <w:sz w:val="24"/>
          <w:szCs w:val="24"/>
          <w:lang w:eastAsia="ru-RU"/>
        </w:rPr>
        <w:t xml:space="preserve">Показания </w:t>
      </w:r>
      <w:r w:rsidR="00CC0393" w:rsidRPr="00CC0393">
        <w:rPr>
          <w:rFonts w:eastAsia="Times New Roman"/>
          <w:b/>
          <w:bCs/>
          <w:sz w:val="24"/>
          <w:szCs w:val="24"/>
          <w:lang w:eastAsia="ru-RU"/>
        </w:rPr>
        <w:t>к</w:t>
      </w:r>
      <w:r w:rsidRPr="00CC0393">
        <w:rPr>
          <w:rFonts w:eastAsia="Times New Roman"/>
          <w:b/>
          <w:bCs/>
          <w:sz w:val="24"/>
          <w:szCs w:val="24"/>
          <w:lang w:eastAsia="ru-RU"/>
        </w:rPr>
        <w:t xml:space="preserve"> применени</w:t>
      </w:r>
      <w:bookmarkEnd w:id="4"/>
      <w:r w:rsidR="00CC0393" w:rsidRPr="00CC0393">
        <w:rPr>
          <w:rFonts w:eastAsia="Times New Roman"/>
          <w:b/>
          <w:bCs/>
          <w:sz w:val="24"/>
          <w:szCs w:val="24"/>
          <w:lang w:eastAsia="ru-RU"/>
        </w:rPr>
        <w:t>ю</w:t>
      </w:r>
    </w:p>
    <w:p w14:paraId="7A37FAAC" w14:textId="64844E5F" w:rsidR="003F6F3F" w:rsidRPr="00CC0393" w:rsidRDefault="003F6F3F" w:rsidP="000A2694">
      <w:pPr>
        <w:spacing w:after="0" w:line="360" w:lineRule="auto"/>
        <w:ind w:firstLine="708"/>
        <w:jc w:val="both"/>
        <w:rPr>
          <w:bCs/>
          <w:sz w:val="24"/>
          <w:szCs w:val="24"/>
        </w:rPr>
      </w:pPr>
      <w:r w:rsidRPr="003F6F3F">
        <w:rPr>
          <w:bCs/>
          <w:sz w:val="24"/>
          <w:szCs w:val="24"/>
        </w:rPr>
        <w:t>Лекарственный препарат показан к применению взрослым и детям старше 6 лет при установленном дефиците магния, изолированном или связанном с другими дефицитными состояниями, сопровождающимися такими симптомами как: повышенная раздражительность, незначительные нарушения сна, желудочно-кишечные спазмы, учащенное сердцебиение, повышенная утомляемость, боли и спазмы мышц, ощущение покалывания.</w:t>
      </w:r>
    </w:p>
    <w:p w14:paraId="4B8FAB85" w14:textId="77777777" w:rsidR="005D6542" w:rsidRPr="00CC0393" w:rsidRDefault="005D6542" w:rsidP="00FB7104">
      <w:pPr>
        <w:keepNext/>
        <w:spacing w:after="0" w:line="360" w:lineRule="auto"/>
        <w:jc w:val="both"/>
        <w:rPr>
          <w:b/>
          <w:bCs/>
          <w:sz w:val="24"/>
          <w:szCs w:val="24"/>
        </w:rPr>
      </w:pPr>
      <w:r w:rsidRPr="00CC0393">
        <w:rPr>
          <w:b/>
          <w:bCs/>
          <w:sz w:val="24"/>
          <w:szCs w:val="24"/>
        </w:rPr>
        <w:t>Противопоказания</w:t>
      </w:r>
    </w:p>
    <w:p w14:paraId="073F0764" w14:textId="0A5DC61C" w:rsidR="002C128A" w:rsidRDefault="002C128A" w:rsidP="000A2694">
      <w:pPr>
        <w:spacing w:after="0" w:line="360" w:lineRule="auto"/>
        <w:ind w:firstLine="708"/>
        <w:jc w:val="both"/>
        <w:rPr>
          <w:bCs/>
          <w:sz w:val="24"/>
          <w:szCs w:val="24"/>
        </w:rPr>
      </w:pPr>
      <w:r>
        <w:rPr>
          <w:bCs/>
          <w:sz w:val="24"/>
          <w:szCs w:val="24"/>
        </w:rPr>
        <w:t>- Гиперчувствительность к действующим веществам и любым другим компонентам препарата.</w:t>
      </w:r>
    </w:p>
    <w:p w14:paraId="4A85C543" w14:textId="0ABA4B5E" w:rsidR="002C128A" w:rsidRDefault="002C128A" w:rsidP="000A2694">
      <w:pPr>
        <w:spacing w:after="0" w:line="360" w:lineRule="auto"/>
        <w:ind w:firstLine="708"/>
        <w:jc w:val="both"/>
        <w:rPr>
          <w:bCs/>
          <w:sz w:val="24"/>
          <w:szCs w:val="24"/>
        </w:rPr>
      </w:pPr>
      <w:r>
        <w:rPr>
          <w:bCs/>
          <w:sz w:val="24"/>
          <w:szCs w:val="24"/>
        </w:rPr>
        <w:t>- Почечная недостаточность тяжелой степени (клиренс креатинина менее 30 мл/мин).</w:t>
      </w:r>
    </w:p>
    <w:p w14:paraId="454FF4D3" w14:textId="0C9D3EB1" w:rsidR="002C128A" w:rsidRDefault="002C128A" w:rsidP="000A2694">
      <w:pPr>
        <w:spacing w:after="0" w:line="360" w:lineRule="auto"/>
        <w:ind w:firstLine="708"/>
        <w:jc w:val="both"/>
        <w:rPr>
          <w:bCs/>
          <w:sz w:val="24"/>
          <w:szCs w:val="24"/>
        </w:rPr>
      </w:pPr>
      <w:r>
        <w:rPr>
          <w:bCs/>
          <w:sz w:val="24"/>
          <w:szCs w:val="24"/>
        </w:rPr>
        <w:t>- Детский возраст до 6 лет.</w:t>
      </w:r>
    </w:p>
    <w:p w14:paraId="30E4AE80" w14:textId="525E70E9" w:rsidR="002C128A" w:rsidRDefault="002C128A" w:rsidP="000A2694">
      <w:pPr>
        <w:spacing w:after="0" w:line="360" w:lineRule="auto"/>
        <w:ind w:firstLine="708"/>
        <w:jc w:val="both"/>
        <w:rPr>
          <w:bCs/>
          <w:sz w:val="24"/>
          <w:szCs w:val="24"/>
        </w:rPr>
      </w:pPr>
      <w:r>
        <w:rPr>
          <w:bCs/>
          <w:sz w:val="24"/>
          <w:szCs w:val="24"/>
        </w:rPr>
        <w:t>- </w:t>
      </w:r>
      <w:r w:rsidRPr="000A2694">
        <w:rPr>
          <w:bCs/>
          <w:sz w:val="24"/>
          <w:szCs w:val="24"/>
        </w:rPr>
        <w:t>Дефицит лактазы</w:t>
      </w:r>
      <w:r>
        <w:rPr>
          <w:bCs/>
          <w:sz w:val="24"/>
          <w:szCs w:val="24"/>
        </w:rPr>
        <w:t>,</w:t>
      </w:r>
      <w:r w:rsidRPr="000A2694">
        <w:rPr>
          <w:bCs/>
          <w:sz w:val="24"/>
          <w:szCs w:val="24"/>
        </w:rPr>
        <w:t xml:space="preserve"> непереносимость лактозы</w:t>
      </w:r>
      <w:r>
        <w:rPr>
          <w:bCs/>
          <w:sz w:val="24"/>
          <w:szCs w:val="24"/>
        </w:rPr>
        <w:t>,</w:t>
      </w:r>
      <w:r w:rsidRPr="000A2694">
        <w:rPr>
          <w:bCs/>
          <w:sz w:val="24"/>
          <w:szCs w:val="24"/>
        </w:rPr>
        <w:t xml:space="preserve"> глюкозо</w:t>
      </w:r>
      <w:r>
        <w:rPr>
          <w:bCs/>
          <w:sz w:val="24"/>
          <w:szCs w:val="24"/>
        </w:rPr>
        <w:t>-</w:t>
      </w:r>
      <w:r w:rsidRPr="000A2694">
        <w:rPr>
          <w:bCs/>
          <w:sz w:val="24"/>
          <w:szCs w:val="24"/>
        </w:rPr>
        <w:t>галактозная мальабсорбция</w:t>
      </w:r>
      <w:r>
        <w:rPr>
          <w:bCs/>
          <w:sz w:val="24"/>
          <w:szCs w:val="24"/>
        </w:rPr>
        <w:t>.</w:t>
      </w:r>
    </w:p>
    <w:p w14:paraId="077ABD3C" w14:textId="7B8F1051" w:rsidR="002C128A" w:rsidRDefault="002C128A" w:rsidP="000A2694">
      <w:pPr>
        <w:spacing w:after="0" w:line="360" w:lineRule="auto"/>
        <w:ind w:firstLine="708"/>
        <w:jc w:val="both"/>
        <w:rPr>
          <w:bCs/>
          <w:sz w:val="24"/>
          <w:szCs w:val="24"/>
        </w:rPr>
      </w:pPr>
      <w:r>
        <w:rPr>
          <w:bCs/>
          <w:sz w:val="24"/>
          <w:szCs w:val="24"/>
        </w:rPr>
        <w:t>- Одновременный прием леводопы (см. раздел «Взаимодействие с другими лекарственными средствами»).</w:t>
      </w:r>
    </w:p>
    <w:p w14:paraId="6C3E7C4F" w14:textId="65EC4C6D" w:rsidR="00CC0393" w:rsidRPr="002C128A" w:rsidRDefault="005D6542" w:rsidP="002C128A">
      <w:pPr>
        <w:keepNext/>
        <w:spacing w:after="0" w:line="360" w:lineRule="auto"/>
        <w:jc w:val="both"/>
        <w:rPr>
          <w:b/>
          <w:bCs/>
          <w:iCs/>
          <w:sz w:val="24"/>
          <w:szCs w:val="24"/>
        </w:rPr>
      </w:pPr>
      <w:r w:rsidRPr="002C128A">
        <w:rPr>
          <w:b/>
          <w:bCs/>
          <w:iCs/>
          <w:sz w:val="24"/>
          <w:szCs w:val="24"/>
        </w:rPr>
        <w:t>С осторожностью</w:t>
      </w:r>
    </w:p>
    <w:p w14:paraId="75BAA226" w14:textId="1677B1F6" w:rsidR="00CC0393" w:rsidRPr="00437648" w:rsidRDefault="004B2FFF" w:rsidP="000A2694">
      <w:pPr>
        <w:spacing w:after="0" w:line="360" w:lineRule="auto"/>
        <w:ind w:firstLine="708"/>
        <w:jc w:val="both"/>
        <w:rPr>
          <w:bCs/>
          <w:sz w:val="24"/>
          <w:szCs w:val="24"/>
        </w:rPr>
      </w:pPr>
      <w:r>
        <w:rPr>
          <w:bCs/>
          <w:sz w:val="24"/>
          <w:szCs w:val="24"/>
        </w:rPr>
        <w:t>Почечная недостаточность средней степени тяжести (</w:t>
      </w:r>
      <w:r w:rsidR="000A2694" w:rsidRPr="000A2694">
        <w:rPr>
          <w:bCs/>
          <w:sz w:val="24"/>
          <w:szCs w:val="24"/>
        </w:rPr>
        <w:t xml:space="preserve">риск развития </w:t>
      </w:r>
      <w:proofErr w:type="spellStart"/>
      <w:r w:rsidR="000A2694" w:rsidRPr="000A2694">
        <w:rPr>
          <w:bCs/>
          <w:sz w:val="24"/>
          <w:szCs w:val="24"/>
        </w:rPr>
        <w:t>гипермагниемии</w:t>
      </w:r>
      <w:proofErr w:type="spellEnd"/>
      <w:r>
        <w:rPr>
          <w:bCs/>
          <w:sz w:val="24"/>
          <w:szCs w:val="24"/>
        </w:rPr>
        <w:t>)</w:t>
      </w:r>
      <w:r w:rsidR="000A2694" w:rsidRPr="000A2694">
        <w:rPr>
          <w:bCs/>
          <w:sz w:val="24"/>
          <w:szCs w:val="24"/>
        </w:rPr>
        <w:t>.</w:t>
      </w:r>
    </w:p>
    <w:p w14:paraId="13EB77A1" w14:textId="77777777" w:rsidR="00191999" w:rsidRPr="00437648" w:rsidRDefault="005D6542" w:rsidP="00191999">
      <w:pPr>
        <w:spacing w:after="0" w:line="360" w:lineRule="auto"/>
        <w:jc w:val="both"/>
        <w:rPr>
          <w:rFonts w:eastAsia="Times New Roman"/>
          <w:b/>
          <w:sz w:val="24"/>
          <w:szCs w:val="24"/>
          <w:lang w:eastAsia="ru-RU"/>
        </w:rPr>
      </w:pPr>
      <w:r w:rsidRPr="00437648">
        <w:rPr>
          <w:rFonts w:eastAsia="Times New Roman"/>
          <w:b/>
          <w:sz w:val="24"/>
          <w:szCs w:val="24"/>
          <w:lang w:eastAsia="ru-RU"/>
        </w:rPr>
        <w:t xml:space="preserve">Применение при беременности и </w:t>
      </w:r>
      <w:r w:rsidR="00164D3C" w:rsidRPr="00437648">
        <w:rPr>
          <w:rFonts w:eastAsia="Times New Roman"/>
          <w:b/>
          <w:sz w:val="24"/>
          <w:szCs w:val="24"/>
          <w:lang w:eastAsia="ru-RU"/>
        </w:rPr>
        <w:t>в период грудного вскармливания</w:t>
      </w:r>
    </w:p>
    <w:p w14:paraId="37DC83B9" w14:textId="1EDABF98" w:rsidR="003F6F3F" w:rsidRPr="00BF15E8" w:rsidRDefault="003F6F3F" w:rsidP="00EC2B07">
      <w:pPr>
        <w:spacing w:after="0" w:line="360" w:lineRule="auto"/>
        <w:ind w:firstLine="708"/>
        <w:jc w:val="both"/>
        <w:rPr>
          <w:rFonts w:eastAsia="Times New Roman"/>
          <w:b/>
          <w:i/>
          <w:iCs/>
          <w:sz w:val="24"/>
          <w:szCs w:val="24"/>
          <w:lang w:eastAsia="ru-RU"/>
        </w:rPr>
      </w:pPr>
      <w:r w:rsidRPr="00BF15E8">
        <w:rPr>
          <w:rFonts w:eastAsia="Times New Roman"/>
          <w:b/>
          <w:i/>
          <w:iCs/>
          <w:sz w:val="24"/>
          <w:szCs w:val="24"/>
          <w:lang w:eastAsia="ru-RU"/>
        </w:rPr>
        <w:t>Беременность</w:t>
      </w:r>
    </w:p>
    <w:p w14:paraId="6111EFC6" w14:textId="0E4CEAE8" w:rsidR="00EC2B07" w:rsidRPr="00EC2B07" w:rsidRDefault="00EC2B07" w:rsidP="00EC2B07">
      <w:pPr>
        <w:spacing w:after="0" w:line="360" w:lineRule="auto"/>
        <w:ind w:firstLine="708"/>
        <w:jc w:val="both"/>
        <w:rPr>
          <w:rFonts w:eastAsia="Times New Roman"/>
          <w:bCs/>
          <w:sz w:val="24"/>
          <w:szCs w:val="24"/>
          <w:lang w:eastAsia="ru-RU"/>
        </w:rPr>
      </w:pPr>
      <w:r>
        <w:rPr>
          <w:rFonts w:eastAsia="Times New Roman"/>
          <w:bCs/>
          <w:sz w:val="24"/>
          <w:szCs w:val="24"/>
          <w:lang w:eastAsia="ru-RU"/>
        </w:rPr>
        <w:t>Витапрайм</w:t>
      </w:r>
      <w:r w:rsidRPr="00EC2B07">
        <w:rPr>
          <w:rFonts w:eastAsia="Times New Roman"/>
          <w:bCs/>
          <w:sz w:val="24"/>
          <w:szCs w:val="24"/>
          <w:vertAlign w:val="superscript"/>
          <w:lang w:eastAsia="ru-RU"/>
        </w:rPr>
        <w:t>®</w:t>
      </w:r>
      <w:r w:rsidRPr="00EC2B07">
        <w:rPr>
          <w:rFonts w:eastAsia="Times New Roman"/>
          <w:bCs/>
          <w:sz w:val="24"/>
          <w:szCs w:val="24"/>
          <w:lang w:eastAsia="ru-RU"/>
        </w:rPr>
        <w:t xml:space="preserve"> </w:t>
      </w:r>
      <w:r>
        <w:rPr>
          <w:rFonts w:eastAsia="Times New Roman"/>
          <w:bCs/>
          <w:sz w:val="24"/>
          <w:szCs w:val="24"/>
          <w:lang w:eastAsia="ru-RU"/>
        </w:rPr>
        <w:t xml:space="preserve">В6 </w:t>
      </w:r>
      <w:r w:rsidRPr="00EC2B07">
        <w:rPr>
          <w:rFonts w:eastAsia="Times New Roman"/>
          <w:bCs/>
          <w:sz w:val="24"/>
          <w:szCs w:val="24"/>
          <w:lang w:eastAsia="ru-RU"/>
        </w:rPr>
        <w:t xml:space="preserve">может применяться в период беременности только </w:t>
      </w:r>
      <w:r w:rsidR="00F912FE">
        <w:rPr>
          <w:rFonts w:eastAsia="Times New Roman"/>
          <w:bCs/>
          <w:sz w:val="24"/>
          <w:szCs w:val="24"/>
          <w:lang w:eastAsia="ru-RU"/>
        </w:rPr>
        <w:t xml:space="preserve">при необходимости и </w:t>
      </w:r>
      <w:r w:rsidRPr="00EC2B07">
        <w:rPr>
          <w:rFonts w:eastAsia="Times New Roman"/>
          <w:bCs/>
          <w:sz w:val="24"/>
          <w:szCs w:val="24"/>
          <w:lang w:eastAsia="ru-RU"/>
        </w:rPr>
        <w:t>по рекомендации врача.</w:t>
      </w:r>
    </w:p>
    <w:p w14:paraId="482668CE" w14:textId="3B77F0E6" w:rsidR="003F6F3F" w:rsidRPr="00BF15E8" w:rsidRDefault="003F6F3F" w:rsidP="00BF15E8">
      <w:pPr>
        <w:keepNext/>
        <w:spacing w:after="0" w:line="360" w:lineRule="auto"/>
        <w:ind w:firstLine="709"/>
        <w:jc w:val="both"/>
        <w:rPr>
          <w:rFonts w:eastAsia="Times New Roman"/>
          <w:b/>
          <w:i/>
          <w:iCs/>
          <w:sz w:val="24"/>
          <w:szCs w:val="24"/>
          <w:lang w:eastAsia="ru-RU"/>
        </w:rPr>
      </w:pPr>
      <w:r w:rsidRPr="00BF15E8">
        <w:rPr>
          <w:rFonts w:eastAsia="Times New Roman"/>
          <w:b/>
          <w:i/>
          <w:iCs/>
          <w:sz w:val="24"/>
          <w:szCs w:val="24"/>
          <w:lang w:eastAsia="ru-RU"/>
        </w:rPr>
        <w:lastRenderedPageBreak/>
        <w:t>Период грудного вскармливания</w:t>
      </w:r>
    </w:p>
    <w:p w14:paraId="0C0462F0" w14:textId="0851E0B6" w:rsidR="00F912FE" w:rsidRDefault="00EC2B07" w:rsidP="00BF15E8">
      <w:pPr>
        <w:keepNext/>
        <w:spacing w:after="0" w:line="360" w:lineRule="auto"/>
        <w:ind w:firstLine="709"/>
        <w:jc w:val="both"/>
        <w:rPr>
          <w:rFonts w:eastAsia="Times New Roman"/>
          <w:bCs/>
          <w:sz w:val="24"/>
          <w:szCs w:val="24"/>
          <w:lang w:eastAsia="ru-RU"/>
        </w:rPr>
      </w:pPr>
      <w:r w:rsidRPr="00EC2B07">
        <w:rPr>
          <w:rFonts w:eastAsia="Times New Roman"/>
          <w:bCs/>
          <w:sz w:val="24"/>
          <w:szCs w:val="24"/>
          <w:lang w:eastAsia="ru-RU"/>
        </w:rPr>
        <w:t>Магний проникает в грудное молоко. Следует избегать применения препарата в период</w:t>
      </w:r>
      <w:r>
        <w:rPr>
          <w:rFonts w:eastAsia="Times New Roman"/>
          <w:bCs/>
          <w:sz w:val="24"/>
          <w:szCs w:val="24"/>
          <w:lang w:eastAsia="ru-RU"/>
        </w:rPr>
        <w:t xml:space="preserve"> </w:t>
      </w:r>
      <w:r w:rsidRPr="00EC2B07">
        <w:rPr>
          <w:rFonts w:eastAsia="Times New Roman"/>
          <w:bCs/>
          <w:sz w:val="24"/>
          <w:szCs w:val="24"/>
          <w:lang w:eastAsia="ru-RU"/>
        </w:rPr>
        <w:t>лактации</w:t>
      </w:r>
      <w:r w:rsidR="00F912FE">
        <w:rPr>
          <w:rFonts w:eastAsia="Times New Roman"/>
          <w:bCs/>
          <w:sz w:val="24"/>
          <w:szCs w:val="24"/>
          <w:lang w:eastAsia="ru-RU"/>
        </w:rPr>
        <w:t xml:space="preserve"> и кормления грудью</w:t>
      </w:r>
      <w:r w:rsidRPr="00EC2B07">
        <w:rPr>
          <w:rFonts w:eastAsia="Times New Roman"/>
          <w:bCs/>
          <w:sz w:val="24"/>
          <w:szCs w:val="24"/>
          <w:lang w:eastAsia="ru-RU"/>
        </w:rPr>
        <w:t>.</w:t>
      </w:r>
    </w:p>
    <w:p w14:paraId="29FFBA61" w14:textId="1584357B" w:rsidR="0093218B" w:rsidRPr="00437648" w:rsidRDefault="00073B6F" w:rsidP="00F912FE">
      <w:pPr>
        <w:keepNext/>
        <w:spacing w:after="0" w:line="360" w:lineRule="auto"/>
        <w:jc w:val="both"/>
        <w:rPr>
          <w:rFonts w:eastAsia="Times New Roman"/>
          <w:b/>
          <w:bCs/>
          <w:sz w:val="24"/>
          <w:szCs w:val="24"/>
          <w:lang w:eastAsia="ru-RU"/>
        </w:rPr>
      </w:pPr>
      <w:r w:rsidRPr="00437648">
        <w:rPr>
          <w:rFonts w:eastAsia="Times New Roman"/>
          <w:b/>
          <w:bCs/>
          <w:sz w:val="24"/>
          <w:szCs w:val="24"/>
          <w:lang w:eastAsia="ru-RU"/>
        </w:rPr>
        <w:t>Способ применения и дозы</w:t>
      </w:r>
    </w:p>
    <w:p w14:paraId="7A008951" w14:textId="3B1799DA" w:rsidR="00F912FE" w:rsidRPr="00A752D5" w:rsidRDefault="00F912FE" w:rsidP="00BF15E8">
      <w:pPr>
        <w:spacing w:after="0" w:line="360" w:lineRule="auto"/>
        <w:ind w:firstLine="709"/>
        <w:jc w:val="both"/>
        <w:rPr>
          <w:rFonts w:eastAsia="Times New Roman"/>
          <w:bCs/>
          <w:sz w:val="24"/>
          <w:szCs w:val="24"/>
          <w:lang w:eastAsia="ru-RU"/>
        </w:rPr>
      </w:pPr>
      <w:r w:rsidRPr="00A752D5">
        <w:rPr>
          <w:rFonts w:eastAsia="Times New Roman"/>
          <w:bCs/>
          <w:sz w:val="24"/>
          <w:szCs w:val="24"/>
          <w:lang w:eastAsia="ru-RU"/>
        </w:rPr>
        <w:t>Перед приемом препарата необходимо проконсультироваться с врачом.</w:t>
      </w:r>
    </w:p>
    <w:p w14:paraId="4099E776" w14:textId="7E84B9E9" w:rsidR="00EC2B07" w:rsidRPr="00EC2B07" w:rsidRDefault="00EC2B07" w:rsidP="00BF15E8">
      <w:pPr>
        <w:spacing w:after="0" w:line="360" w:lineRule="auto"/>
        <w:ind w:firstLine="709"/>
        <w:jc w:val="both"/>
        <w:rPr>
          <w:rFonts w:eastAsia="Times New Roman"/>
          <w:bCs/>
          <w:sz w:val="24"/>
          <w:szCs w:val="24"/>
          <w:lang w:eastAsia="ru-RU"/>
        </w:rPr>
      </w:pPr>
      <w:r w:rsidRPr="00EC2B07">
        <w:rPr>
          <w:rFonts w:eastAsia="Times New Roman"/>
          <w:bCs/>
          <w:sz w:val="24"/>
          <w:szCs w:val="24"/>
          <w:lang w:eastAsia="ru-RU"/>
        </w:rPr>
        <w:t>Внутрь</w:t>
      </w:r>
      <w:r w:rsidR="00CD06D5">
        <w:rPr>
          <w:rFonts w:eastAsia="Times New Roman"/>
          <w:bCs/>
          <w:sz w:val="24"/>
          <w:szCs w:val="24"/>
          <w:lang w:eastAsia="ru-RU"/>
        </w:rPr>
        <w:t>,</w:t>
      </w:r>
      <w:r w:rsidRPr="00EC2B07">
        <w:rPr>
          <w:rFonts w:eastAsia="Times New Roman"/>
          <w:bCs/>
          <w:sz w:val="24"/>
          <w:szCs w:val="24"/>
          <w:lang w:eastAsia="ru-RU"/>
        </w:rPr>
        <w:t xml:space="preserve"> во время еды</w:t>
      </w:r>
      <w:r w:rsidR="00B70557">
        <w:rPr>
          <w:rFonts w:eastAsia="Times New Roman"/>
          <w:bCs/>
          <w:sz w:val="24"/>
          <w:szCs w:val="24"/>
          <w:lang w:eastAsia="ru-RU"/>
        </w:rPr>
        <w:t xml:space="preserve">. </w:t>
      </w:r>
      <w:r w:rsidR="00B70557" w:rsidRPr="00B70557">
        <w:rPr>
          <w:rFonts w:eastAsia="Times New Roman"/>
          <w:bCs/>
          <w:sz w:val="24"/>
          <w:szCs w:val="24"/>
          <w:lang w:eastAsia="ru-RU"/>
        </w:rPr>
        <w:t>Таблетку следует проглатывать целиком, не разжевывая, запивая стаканом воды.</w:t>
      </w:r>
    </w:p>
    <w:p w14:paraId="2D8BE70B" w14:textId="199B3C47" w:rsidR="00EC2B07" w:rsidRPr="00EC2B07" w:rsidRDefault="00EC2B07" w:rsidP="00BF15E8">
      <w:pPr>
        <w:spacing w:after="0" w:line="360" w:lineRule="auto"/>
        <w:ind w:firstLine="709"/>
        <w:jc w:val="both"/>
        <w:rPr>
          <w:rFonts w:eastAsia="Times New Roman"/>
          <w:bCs/>
          <w:sz w:val="24"/>
          <w:szCs w:val="24"/>
          <w:lang w:eastAsia="ru-RU"/>
        </w:rPr>
      </w:pPr>
      <w:r w:rsidRPr="00EC2B07">
        <w:rPr>
          <w:rFonts w:eastAsia="Times New Roman"/>
          <w:bCs/>
          <w:sz w:val="24"/>
          <w:szCs w:val="24"/>
          <w:lang w:eastAsia="ru-RU"/>
        </w:rPr>
        <w:t>Взрослым рекомендуется принимать по 6</w:t>
      </w:r>
      <w:r w:rsidR="00FB7104">
        <w:rPr>
          <w:rFonts w:eastAsia="Times New Roman"/>
          <w:bCs/>
          <w:sz w:val="24"/>
          <w:szCs w:val="24"/>
          <w:lang w:eastAsia="ru-RU"/>
        </w:rPr>
        <w:t>-</w:t>
      </w:r>
      <w:r w:rsidRPr="00EC2B07">
        <w:rPr>
          <w:rFonts w:eastAsia="Times New Roman"/>
          <w:bCs/>
          <w:sz w:val="24"/>
          <w:szCs w:val="24"/>
          <w:lang w:eastAsia="ru-RU"/>
        </w:rPr>
        <w:t>8 таблеток в сутки.</w:t>
      </w:r>
    </w:p>
    <w:p w14:paraId="4DC8F1A9" w14:textId="74413F2A" w:rsidR="00EC2B07" w:rsidRPr="00EC2B07" w:rsidRDefault="00EC2B07" w:rsidP="00BF15E8">
      <w:pPr>
        <w:spacing w:after="0" w:line="360" w:lineRule="auto"/>
        <w:ind w:firstLine="709"/>
        <w:jc w:val="both"/>
        <w:rPr>
          <w:rFonts w:eastAsia="Times New Roman"/>
          <w:bCs/>
          <w:sz w:val="24"/>
          <w:szCs w:val="24"/>
          <w:lang w:eastAsia="ru-RU"/>
        </w:rPr>
      </w:pPr>
      <w:r w:rsidRPr="00EC2B07">
        <w:rPr>
          <w:rFonts w:eastAsia="Times New Roman"/>
          <w:bCs/>
          <w:sz w:val="24"/>
          <w:szCs w:val="24"/>
          <w:lang w:eastAsia="ru-RU"/>
        </w:rPr>
        <w:t>Детям старше 6 лет (массой тела более 20 кг) рекомендуется принимать по 4</w:t>
      </w:r>
      <w:r w:rsidR="00FB7104">
        <w:rPr>
          <w:rFonts w:eastAsia="Times New Roman"/>
          <w:bCs/>
          <w:sz w:val="24"/>
          <w:szCs w:val="24"/>
          <w:lang w:eastAsia="ru-RU"/>
        </w:rPr>
        <w:t>-</w:t>
      </w:r>
      <w:r w:rsidRPr="00EC2B07">
        <w:rPr>
          <w:rFonts w:eastAsia="Times New Roman"/>
          <w:bCs/>
          <w:sz w:val="24"/>
          <w:szCs w:val="24"/>
          <w:lang w:eastAsia="ru-RU"/>
        </w:rPr>
        <w:t>6 таблеток</w:t>
      </w:r>
      <w:r>
        <w:rPr>
          <w:rFonts w:eastAsia="Times New Roman"/>
          <w:bCs/>
          <w:sz w:val="24"/>
          <w:szCs w:val="24"/>
          <w:lang w:eastAsia="ru-RU"/>
        </w:rPr>
        <w:t xml:space="preserve"> </w:t>
      </w:r>
      <w:r w:rsidRPr="00EC2B07">
        <w:rPr>
          <w:rFonts w:eastAsia="Times New Roman"/>
          <w:bCs/>
          <w:sz w:val="24"/>
          <w:szCs w:val="24"/>
          <w:lang w:eastAsia="ru-RU"/>
        </w:rPr>
        <w:t>в сутки.</w:t>
      </w:r>
    </w:p>
    <w:p w14:paraId="604E4AB5" w14:textId="6BBC0A6F" w:rsidR="00EC2B07" w:rsidRPr="00EC2B07" w:rsidRDefault="00EC2B07" w:rsidP="00BF15E8">
      <w:pPr>
        <w:spacing w:after="0" w:line="360" w:lineRule="auto"/>
        <w:ind w:firstLine="709"/>
        <w:jc w:val="both"/>
        <w:rPr>
          <w:rFonts w:eastAsia="Times New Roman"/>
          <w:bCs/>
          <w:sz w:val="24"/>
          <w:szCs w:val="24"/>
          <w:lang w:eastAsia="ru-RU"/>
        </w:rPr>
      </w:pPr>
      <w:r w:rsidRPr="00EC2B07">
        <w:rPr>
          <w:rFonts w:eastAsia="Times New Roman"/>
          <w:bCs/>
          <w:sz w:val="24"/>
          <w:szCs w:val="24"/>
          <w:lang w:eastAsia="ru-RU"/>
        </w:rPr>
        <w:t>Суточную дозу следует разделить на 2</w:t>
      </w:r>
      <w:r w:rsidR="00FB7104">
        <w:rPr>
          <w:rFonts w:eastAsia="Times New Roman"/>
          <w:bCs/>
          <w:sz w:val="24"/>
          <w:szCs w:val="24"/>
          <w:lang w:eastAsia="ru-RU"/>
        </w:rPr>
        <w:t>-</w:t>
      </w:r>
      <w:r w:rsidRPr="00EC2B07">
        <w:rPr>
          <w:rFonts w:eastAsia="Times New Roman"/>
          <w:bCs/>
          <w:sz w:val="24"/>
          <w:szCs w:val="24"/>
          <w:lang w:eastAsia="ru-RU"/>
        </w:rPr>
        <w:t>3 приема</w:t>
      </w:r>
      <w:r w:rsidR="00B70557">
        <w:rPr>
          <w:rFonts w:eastAsia="Times New Roman"/>
          <w:bCs/>
          <w:sz w:val="24"/>
          <w:szCs w:val="24"/>
          <w:lang w:eastAsia="ru-RU"/>
        </w:rPr>
        <w:t>, принимая во время еды</w:t>
      </w:r>
      <w:r w:rsidRPr="00EC2B07">
        <w:rPr>
          <w:rFonts w:eastAsia="Times New Roman"/>
          <w:bCs/>
          <w:sz w:val="24"/>
          <w:szCs w:val="24"/>
          <w:lang w:eastAsia="ru-RU"/>
        </w:rPr>
        <w:t>.</w:t>
      </w:r>
    </w:p>
    <w:p w14:paraId="0831E276" w14:textId="40E46FD9" w:rsidR="00EC2B07" w:rsidRPr="00EC2B07" w:rsidRDefault="00EC2B07" w:rsidP="00BF15E8">
      <w:pPr>
        <w:spacing w:after="0" w:line="360" w:lineRule="auto"/>
        <w:ind w:firstLine="709"/>
        <w:jc w:val="both"/>
        <w:rPr>
          <w:rFonts w:eastAsia="Times New Roman"/>
          <w:bCs/>
          <w:sz w:val="24"/>
          <w:szCs w:val="24"/>
          <w:lang w:eastAsia="ru-RU"/>
        </w:rPr>
      </w:pPr>
      <w:r w:rsidRPr="00EC2B07">
        <w:rPr>
          <w:rFonts w:eastAsia="Times New Roman"/>
          <w:bCs/>
          <w:sz w:val="24"/>
          <w:szCs w:val="24"/>
          <w:lang w:eastAsia="ru-RU"/>
        </w:rPr>
        <w:t xml:space="preserve">Средний курс лечения </w:t>
      </w:r>
      <w:r>
        <w:rPr>
          <w:rFonts w:eastAsia="Times New Roman"/>
          <w:bCs/>
          <w:sz w:val="24"/>
          <w:szCs w:val="24"/>
          <w:lang w:eastAsia="ru-RU"/>
        </w:rPr>
        <w:t>–</w:t>
      </w:r>
      <w:r w:rsidRPr="00EC2B07">
        <w:rPr>
          <w:rFonts w:eastAsia="Times New Roman"/>
          <w:bCs/>
          <w:sz w:val="24"/>
          <w:szCs w:val="24"/>
          <w:lang w:eastAsia="ru-RU"/>
        </w:rPr>
        <w:t xml:space="preserve"> 1 месяц.</w:t>
      </w:r>
    </w:p>
    <w:p w14:paraId="79DA851A" w14:textId="3547B90E" w:rsidR="00437648" w:rsidRPr="00437648" w:rsidRDefault="00B70557" w:rsidP="00BF15E8">
      <w:pPr>
        <w:spacing w:after="0" w:line="360" w:lineRule="auto"/>
        <w:ind w:firstLine="709"/>
        <w:jc w:val="both"/>
        <w:rPr>
          <w:rFonts w:eastAsia="Times New Roman"/>
          <w:bCs/>
          <w:sz w:val="24"/>
          <w:szCs w:val="24"/>
          <w:lang w:eastAsia="ru-RU"/>
        </w:rPr>
      </w:pPr>
      <w:r w:rsidRPr="00A752D5">
        <w:rPr>
          <w:rStyle w:val="1"/>
          <w:sz w:val="24"/>
          <w:szCs w:val="24"/>
        </w:rPr>
        <w:t xml:space="preserve">Лечение следует прекратить </w:t>
      </w:r>
      <w:r>
        <w:rPr>
          <w:rStyle w:val="1"/>
          <w:sz w:val="24"/>
          <w:szCs w:val="24"/>
        </w:rPr>
        <w:t>с</w:t>
      </w:r>
      <w:r w:rsidR="00EC2B07" w:rsidRPr="00EC2B07">
        <w:rPr>
          <w:rFonts w:eastAsia="Times New Roman"/>
          <w:bCs/>
          <w:sz w:val="24"/>
          <w:szCs w:val="24"/>
          <w:lang w:eastAsia="ru-RU"/>
        </w:rPr>
        <w:t xml:space="preserve">разу </w:t>
      </w:r>
      <w:r>
        <w:rPr>
          <w:rFonts w:eastAsia="Times New Roman"/>
          <w:bCs/>
          <w:sz w:val="24"/>
          <w:szCs w:val="24"/>
          <w:lang w:eastAsia="ru-RU"/>
        </w:rPr>
        <w:t xml:space="preserve">же </w:t>
      </w:r>
      <w:r w:rsidR="00EC2B07" w:rsidRPr="00EC2B07">
        <w:rPr>
          <w:rFonts w:eastAsia="Times New Roman"/>
          <w:bCs/>
          <w:sz w:val="24"/>
          <w:szCs w:val="24"/>
          <w:lang w:eastAsia="ru-RU"/>
        </w:rPr>
        <w:t xml:space="preserve">после нормализации </w:t>
      </w:r>
      <w:r w:rsidRPr="00A752D5">
        <w:rPr>
          <w:rStyle w:val="1"/>
          <w:sz w:val="24"/>
          <w:szCs w:val="24"/>
        </w:rPr>
        <w:t xml:space="preserve">концентрации </w:t>
      </w:r>
      <w:r w:rsidR="00EC2B07" w:rsidRPr="00EC2B07">
        <w:rPr>
          <w:rFonts w:eastAsia="Times New Roman"/>
          <w:bCs/>
          <w:sz w:val="24"/>
          <w:szCs w:val="24"/>
          <w:lang w:eastAsia="ru-RU"/>
        </w:rPr>
        <w:t>магния в крови.</w:t>
      </w:r>
    </w:p>
    <w:p w14:paraId="0E09FD6A" w14:textId="77777777" w:rsidR="005D6542" w:rsidRPr="00437648" w:rsidRDefault="005D6542" w:rsidP="00437648">
      <w:pPr>
        <w:pStyle w:val="a3"/>
        <w:keepNext/>
        <w:spacing w:line="360" w:lineRule="auto"/>
        <w:ind w:firstLine="0"/>
        <w:rPr>
          <w:b/>
          <w:bCs/>
          <w:sz w:val="24"/>
          <w:szCs w:val="24"/>
        </w:rPr>
      </w:pPr>
      <w:r w:rsidRPr="00437648">
        <w:rPr>
          <w:b/>
          <w:bCs/>
          <w:sz w:val="24"/>
          <w:szCs w:val="24"/>
        </w:rPr>
        <w:t>Побочное действие</w:t>
      </w:r>
    </w:p>
    <w:p w14:paraId="4CB06986" w14:textId="77777777" w:rsidR="00A752D5" w:rsidRDefault="00A752D5" w:rsidP="00BF15E8">
      <w:pPr>
        <w:pStyle w:val="a3"/>
        <w:keepNext/>
        <w:spacing w:line="360" w:lineRule="auto"/>
        <w:ind w:firstLine="709"/>
        <w:rPr>
          <w:bCs/>
          <w:sz w:val="24"/>
          <w:szCs w:val="24"/>
        </w:rPr>
      </w:pPr>
      <w:r>
        <w:rPr>
          <w:bCs/>
          <w:sz w:val="24"/>
          <w:szCs w:val="24"/>
        </w:rPr>
        <w:t xml:space="preserve">По данным Всемирной организации здравоохранения (ВОЗ) нежелательные реакции классифицированы в соответствии с частотой их развития следующим образом: очень часто (≥1/10), часто (≥1/100, но </w:t>
      </w:r>
      <w:r w:rsidRPr="00393C5B">
        <w:rPr>
          <w:bCs/>
          <w:sz w:val="24"/>
          <w:szCs w:val="24"/>
        </w:rPr>
        <w:t>&lt;</w:t>
      </w:r>
      <w:r>
        <w:rPr>
          <w:bCs/>
          <w:sz w:val="24"/>
          <w:szCs w:val="24"/>
        </w:rPr>
        <w:t xml:space="preserve">1/10), нечасто (≥1/1000, но </w:t>
      </w:r>
      <w:r w:rsidRPr="00393C5B">
        <w:rPr>
          <w:bCs/>
          <w:sz w:val="24"/>
          <w:szCs w:val="24"/>
        </w:rPr>
        <w:t>&lt;</w:t>
      </w:r>
      <w:r>
        <w:rPr>
          <w:bCs/>
          <w:sz w:val="24"/>
          <w:szCs w:val="24"/>
        </w:rPr>
        <w:t xml:space="preserve">1/100), редко (≥1/10000, но </w:t>
      </w:r>
      <w:r w:rsidRPr="00393C5B">
        <w:rPr>
          <w:bCs/>
          <w:sz w:val="24"/>
          <w:szCs w:val="24"/>
        </w:rPr>
        <w:t>&lt;</w:t>
      </w:r>
      <w:r>
        <w:rPr>
          <w:bCs/>
          <w:sz w:val="24"/>
          <w:szCs w:val="24"/>
        </w:rPr>
        <w:t>1/1000), очень редко (</w:t>
      </w:r>
      <w:r w:rsidRPr="00393C5B">
        <w:rPr>
          <w:bCs/>
          <w:sz w:val="24"/>
          <w:szCs w:val="24"/>
        </w:rPr>
        <w:t>&lt;</w:t>
      </w:r>
      <w:r>
        <w:rPr>
          <w:bCs/>
          <w:sz w:val="24"/>
          <w:szCs w:val="24"/>
        </w:rPr>
        <w:t>1/10000), частота неизвестна (по имеющимся данным нельзя определить частоту возникновения нежелательных реакций).</w:t>
      </w:r>
    </w:p>
    <w:p w14:paraId="49A961DE" w14:textId="7D459C36" w:rsidR="00393C5B" w:rsidRPr="006927E2" w:rsidRDefault="006927E2" w:rsidP="00437648">
      <w:pPr>
        <w:pStyle w:val="a3"/>
        <w:spacing w:line="360" w:lineRule="auto"/>
        <w:ind w:firstLine="708"/>
        <w:rPr>
          <w:bCs/>
          <w:i/>
          <w:iCs/>
          <w:sz w:val="24"/>
          <w:szCs w:val="24"/>
          <w:u w:val="single"/>
        </w:rPr>
      </w:pPr>
      <w:r w:rsidRPr="006927E2">
        <w:rPr>
          <w:bCs/>
          <w:i/>
          <w:iCs/>
          <w:sz w:val="24"/>
          <w:szCs w:val="24"/>
          <w:u w:val="single"/>
        </w:rPr>
        <w:t>Нарушения со стороны иммунной системы:</w:t>
      </w:r>
    </w:p>
    <w:p w14:paraId="7286CA56" w14:textId="23343356" w:rsidR="006927E2" w:rsidRDefault="006927E2" w:rsidP="00437648">
      <w:pPr>
        <w:pStyle w:val="a3"/>
        <w:spacing w:line="360" w:lineRule="auto"/>
        <w:ind w:firstLine="708"/>
        <w:rPr>
          <w:bCs/>
          <w:sz w:val="24"/>
          <w:szCs w:val="24"/>
        </w:rPr>
      </w:pPr>
      <w:r w:rsidRPr="006927E2">
        <w:rPr>
          <w:bCs/>
          <w:i/>
          <w:iCs/>
          <w:sz w:val="24"/>
          <w:szCs w:val="24"/>
        </w:rPr>
        <w:t>частота неизвестна</w:t>
      </w:r>
      <w:r>
        <w:rPr>
          <w:bCs/>
          <w:sz w:val="24"/>
          <w:szCs w:val="24"/>
        </w:rPr>
        <w:t xml:space="preserve"> – реакции повышенной чувствительности.</w:t>
      </w:r>
    </w:p>
    <w:p w14:paraId="24A23014" w14:textId="0E42D502" w:rsidR="006927E2" w:rsidRPr="006927E2" w:rsidRDefault="006927E2" w:rsidP="00437648">
      <w:pPr>
        <w:pStyle w:val="a3"/>
        <w:spacing w:line="360" w:lineRule="auto"/>
        <w:ind w:firstLine="708"/>
        <w:rPr>
          <w:bCs/>
          <w:i/>
          <w:iCs/>
          <w:sz w:val="24"/>
          <w:szCs w:val="24"/>
          <w:u w:val="single"/>
        </w:rPr>
      </w:pPr>
      <w:r w:rsidRPr="006927E2">
        <w:rPr>
          <w:bCs/>
          <w:i/>
          <w:iCs/>
          <w:sz w:val="24"/>
          <w:szCs w:val="24"/>
          <w:u w:val="single"/>
        </w:rPr>
        <w:t>Желудочно-кишечные нарушения:</w:t>
      </w:r>
    </w:p>
    <w:p w14:paraId="34F27177" w14:textId="038A95AA" w:rsidR="006927E2" w:rsidRDefault="006927E2" w:rsidP="00437648">
      <w:pPr>
        <w:pStyle w:val="a3"/>
        <w:spacing w:line="360" w:lineRule="auto"/>
        <w:ind w:firstLine="708"/>
        <w:rPr>
          <w:bCs/>
          <w:sz w:val="24"/>
          <w:szCs w:val="24"/>
        </w:rPr>
      </w:pPr>
      <w:r w:rsidRPr="006927E2">
        <w:rPr>
          <w:bCs/>
          <w:i/>
          <w:iCs/>
          <w:sz w:val="24"/>
          <w:szCs w:val="24"/>
        </w:rPr>
        <w:t>частота неизвестна</w:t>
      </w:r>
      <w:r>
        <w:rPr>
          <w:bCs/>
          <w:sz w:val="24"/>
          <w:szCs w:val="24"/>
        </w:rPr>
        <w:t xml:space="preserve"> – диарея, боль в животе.</w:t>
      </w:r>
    </w:p>
    <w:p w14:paraId="769C4FF4" w14:textId="31F945DB" w:rsidR="006927E2" w:rsidRPr="006927E2" w:rsidRDefault="006927E2" w:rsidP="006927E2">
      <w:pPr>
        <w:pStyle w:val="a3"/>
        <w:keepNext/>
        <w:spacing w:line="360" w:lineRule="auto"/>
        <w:ind w:firstLine="709"/>
        <w:rPr>
          <w:bCs/>
          <w:i/>
          <w:iCs/>
          <w:sz w:val="24"/>
          <w:szCs w:val="24"/>
          <w:u w:val="single"/>
        </w:rPr>
      </w:pPr>
      <w:r w:rsidRPr="006927E2">
        <w:rPr>
          <w:bCs/>
          <w:i/>
          <w:iCs/>
          <w:sz w:val="24"/>
          <w:szCs w:val="24"/>
          <w:u w:val="single"/>
        </w:rPr>
        <w:t>Нарушения со стороны кожи и подкожной клетчатки:</w:t>
      </w:r>
    </w:p>
    <w:p w14:paraId="42F9AED6" w14:textId="1553909C" w:rsidR="006927E2" w:rsidRDefault="006927E2" w:rsidP="00437648">
      <w:pPr>
        <w:pStyle w:val="a3"/>
        <w:spacing w:line="360" w:lineRule="auto"/>
        <w:ind w:firstLine="708"/>
        <w:rPr>
          <w:bCs/>
          <w:sz w:val="24"/>
          <w:szCs w:val="24"/>
        </w:rPr>
      </w:pPr>
      <w:r w:rsidRPr="006927E2">
        <w:rPr>
          <w:bCs/>
          <w:i/>
          <w:iCs/>
          <w:sz w:val="24"/>
          <w:szCs w:val="24"/>
        </w:rPr>
        <w:t>частота неизвестна</w:t>
      </w:r>
      <w:r>
        <w:rPr>
          <w:bCs/>
          <w:sz w:val="24"/>
          <w:szCs w:val="24"/>
        </w:rPr>
        <w:t xml:space="preserve"> – кожные реакции.</w:t>
      </w:r>
    </w:p>
    <w:p w14:paraId="59920914" w14:textId="77777777" w:rsidR="005D6542" w:rsidRPr="00446988" w:rsidRDefault="005D6542" w:rsidP="0070590C">
      <w:pPr>
        <w:pStyle w:val="a3"/>
        <w:spacing w:line="360" w:lineRule="auto"/>
        <w:ind w:firstLine="0"/>
        <w:rPr>
          <w:sz w:val="24"/>
          <w:szCs w:val="24"/>
        </w:rPr>
      </w:pPr>
      <w:r w:rsidRPr="00446988">
        <w:rPr>
          <w:b/>
          <w:bCs/>
          <w:sz w:val="24"/>
          <w:szCs w:val="24"/>
        </w:rPr>
        <w:t>Передозировка</w:t>
      </w:r>
    </w:p>
    <w:p w14:paraId="4646C1D1" w14:textId="2E310DCE" w:rsidR="001812B4" w:rsidRPr="001812B4" w:rsidRDefault="001812B4" w:rsidP="001812B4">
      <w:pPr>
        <w:spacing w:after="0" w:line="360" w:lineRule="auto"/>
        <w:ind w:firstLine="708"/>
        <w:jc w:val="both"/>
        <w:rPr>
          <w:sz w:val="24"/>
          <w:szCs w:val="24"/>
        </w:rPr>
      </w:pPr>
      <w:r w:rsidRPr="001812B4">
        <w:rPr>
          <w:sz w:val="24"/>
          <w:szCs w:val="24"/>
        </w:rPr>
        <w:t>При нормальной функции почек пероральный прием магния не вызывает токсических</w:t>
      </w:r>
      <w:r>
        <w:rPr>
          <w:sz w:val="24"/>
          <w:szCs w:val="24"/>
        </w:rPr>
        <w:t xml:space="preserve"> </w:t>
      </w:r>
      <w:r w:rsidRPr="001812B4">
        <w:rPr>
          <w:sz w:val="24"/>
          <w:szCs w:val="24"/>
        </w:rPr>
        <w:t>реакций. Однако передозировка магния может развиваться при почечной недостаточности.</w:t>
      </w:r>
    </w:p>
    <w:p w14:paraId="7C3862C3" w14:textId="606503C9" w:rsidR="001812B4" w:rsidRPr="001812B4" w:rsidRDefault="001812B4" w:rsidP="001812B4">
      <w:pPr>
        <w:spacing w:after="0" w:line="360" w:lineRule="auto"/>
        <w:ind w:firstLine="708"/>
        <w:jc w:val="both"/>
        <w:rPr>
          <w:sz w:val="24"/>
          <w:szCs w:val="24"/>
        </w:rPr>
      </w:pPr>
      <w:r w:rsidRPr="001812B4">
        <w:rPr>
          <w:i/>
          <w:iCs/>
          <w:sz w:val="24"/>
          <w:szCs w:val="24"/>
        </w:rPr>
        <w:t>Симптомы</w:t>
      </w:r>
      <w:r w:rsidR="006C1D9C">
        <w:rPr>
          <w:i/>
          <w:iCs/>
          <w:sz w:val="24"/>
          <w:szCs w:val="24"/>
        </w:rPr>
        <w:t xml:space="preserve"> передозировки, выраженность которых зависит от концентрации магния в крови</w:t>
      </w:r>
      <w:r w:rsidRPr="001812B4">
        <w:rPr>
          <w:sz w:val="24"/>
          <w:szCs w:val="24"/>
        </w:rPr>
        <w:t xml:space="preserve">: </w:t>
      </w:r>
      <w:r w:rsidR="006C1D9C">
        <w:rPr>
          <w:sz w:val="24"/>
          <w:szCs w:val="24"/>
        </w:rPr>
        <w:t xml:space="preserve">снижение артериального давления; тошнота; рвота; угнетение центральной нервной системы; снижение рефлексов; изменения на электрокардиограмме; угнетение дыхания; кома; остановка сердца и паралич дыхания; </w:t>
      </w:r>
      <w:proofErr w:type="spellStart"/>
      <w:r w:rsidR="006C1D9C">
        <w:rPr>
          <w:sz w:val="24"/>
          <w:szCs w:val="24"/>
        </w:rPr>
        <w:t>анурический</w:t>
      </w:r>
      <w:proofErr w:type="spellEnd"/>
      <w:r w:rsidR="006C1D9C">
        <w:rPr>
          <w:sz w:val="24"/>
          <w:szCs w:val="24"/>
        </w:rPr>
        <w:t xml:space="preserve"> синдром.</w:t>
      </w:r>
    </w:p>
    <w:p w14:paraId="25047F21" w14:textId="77777777" w:rsidR="006C1D9C" w:rsidRDefault="001812B4" w:rsidP="001812B4">
      <w:pPr>
        <w:spacing w:after="0" w:line="360" w:lineRule="auto"/>
        <w:ind w:firstLine="708"/>
        <w:jc w:val="both"/>
        <w:rPr>
          <w:sz w:val="24"/>
          <w:szCs w:val="24"/>
        </w:rPr>
      </w:pPr>
      <w:r w:rsidRPr="001812B4">
        <w:rPr>
          <w:i/>
          <w:iCs/>
          <w:sz w:val="24"/>
          <w:szCs w:val="24"/>
        </w:rPr>
        <w:lastRenderedPageBreak/>
        <w:t>Лечение</w:t>
      </w:r>
      <w:r w:rsidRPr="001812B4">
        <w:rPr>
          <w:sz w:val="24"/>
          <w:szCs w:val="24"/>
        </w:rPr>
        <w:t xml:space="preserve">: </w:t>
      </w:r>
      <w:proofErr w:type="spellStart"/>
      <w:r w:rsidR="006C1D9C">
        <w:rPr>
          <w:sz w:val="24"/>
          <w:szCs w:val="24"/>
        </w:rPr>
        <w:t>регидратация</w:t>
      </w:r>
      <w:proofErr w:type="spellEnd"/>
      <w:r w:rsidR="006C1D9C">
        <w:rPr>
          <w:sz w:val="24"/>
          <w:szCs w:val="24"/>
        </w:rPr>
        <w:t>, форсированный диурез. При почечной недостаточности необходим гемодиализ или перитонеальный диализ.</w:t>
      </w:r>
    </w:p>
    <w:p w14:paraId="57BC9015" w14:textId="77777777" w:rsidR="00A861B0" w:rsidRPr="00C33AF9" w:rsidRDefault="005D6542" w:rsidP="001812B4">
      <w:pPr>
        <w:keepNext/>
        <w:spacing w:after="0" w:line="360" w:lineRule="auto"/>
        <w:jc w:val="both"/>
        <w:rPr>
          <w:b/>
          <w:bCs/>
          <w:sz w:val="24"/>
          <w:szCs w:val="24"/>
        </w:rPr>
      </w:pPr>
      <w:r w:rsidRPr="00C33AF9">
        <w:rPr>
          <w:b/>
          <w:bCs/>
          <w:sz w:val="24"/>
          <w:szCs w:val="24"/>
        </w:rPr>
        <w:t>Взаимодействие с др</w:t>
      </w:r>
      <w:r w:rsidR="00200651" w:rsidRPr="00C33AF9">
        <w:rPr>
          <w:b/>
          <w:bCs/>
          <w:sz w:val="24"/>
          <w:szCs w:val="24"/>
        </w:rPr>
        <w:t>угими лекарственными средствами</w:t>
      </w:r>
    </w:p>
    <w:p w14:paraId="14975D24" w14:textId="3797CD1F" w:rsidR="006927E2" w:rsidRPr="00A308D3" w:rsidRDefault="006927E2" w:rsidP="00A308D3">
      <w:pPr>
        <w:keepNext/>
        <w:spacing w:after="0" w:line="360" w:lineRule="auto"/>
        <w:ind w:firstLine="709"/>
        <w:jc w:val="both"/>
        <w:rPr>
          <w:i/>
          <w:sz w:val="24"/>
          <w:szCs w:val="24"/>
        </w:rPr>
      </w:pPr>
      <w:bookmarkStart w:id="5" w:name="_Hlk31962794"/>
      <w:r w:rsidRPr="00A308D3">
        <w:rPr>
          <w:i/>
          <w:sz w:val="24"/>
          <w:szCs w:val="24"/>
        </w:rPr>
        <w:t>С леводопой</w:t>
      </w:r>
    </w:p>
    <w:p w14:paraId="55A4E332" w14:textId="419A487F" w:rsidR="006927E2" w:rsidRDefault="006927E2" w:rsidP="001812B4">
      <w:pPr>
        <w:spacing w:after="0" w:line="360" w:lineRule="auto"/>
        <w:ind w:firstLine="708"/>
        <w:jc w:val="both"/>
        <w:rPr>
          <w:iCs/>
          <w:sz w:val="24"/>
          <w:szCs w:val="24"/>
        </w:rPr>
      </w:pPr>
      <w:r>
        <w:rPr>
          <w:iCs/>
          <w:sz w:val="24"/>
          <w:szCs w:val="24"/>
        </w:rPr>
        <w:t xml:space="preserve">При одновременном применении препарата </w:t>
      </w:r>
      <w:proofErr w:type="spellStart"/>
      <w:r>
        <w:rPr>
          <w:iCs/>
          <w:sz w:val="24"/>
          <w:szCs w:val="24"/>
        </w:rPr>
        <w:t>Витапрайм</w:t>
      </w:r>
      <w:proofErr w:type="spellEnd"/>
      <w:r w:rsidRPr="006927E2">
        <w:rPr>
          <w:iCs/>
          <w:sz w:val="24"/>
          <w:szCs w:val="24"/>
          <w:vertAlign w:val="superscript"/>
        </w:rPr>
        <w:t>®</w:t>
      </w:r>
      <w:r>
        <w:rPr>
          <w:iCs/>
          <w:sz w:val="24"/>
          <w:szCs w:val="24"/>
        </w:rPr>
        <w:t xml:space="preserve"> В6 и леводопы в дозе 5 мг или больше уменьшаются эффекты леводопы. Поэтому у пациентов, принимающих леводопу, препарат </w:t>
      </w:r>
      <w:proofErr w:type="spellStart"/>
      <w:r>
        <w:rPr>
          <w:iCs/>
          <w:sz w:val="24"/>
          <w:szCs w:val="24"/>
        </w:rPr>
        <w:t>Витапрайм</w:t>
      </w:r>
      <w:proofErr w:type="spellEnd"/>
      <w:r w:rsidRPr="006927E2">
        <w:rPr>
          <w:iCs/>
          <w:sz w:val="24"/>
          <w:szCs w:val="24"/>
          <w:vertAlign w:val="superscript"/>
        </w:rPr>
        <w:t>®</w:t>
      </w:r>
      <w:r>
        <w:rPr>
          <w:iCs/>
          <w:sz w:val="24"/>
          <w:szCs w:val="24"/>
        </w:rPr>
        <w:t xml:space="preserve"> В6 следует назначать одновре</w:t>
      </w:r>
      <w:r w:rsidR="00BA12BE">
        <w:rPr>
          <w:iCs/>
          <w:sz w:val="24"/>
          <w:szCs w:val="24"/>
        </w:rPr>
        <w:t xml:space="preserve">менно с ингибиторами периферической </w:t>
      </w:r>
      <w:proofErr w:type="spellStart"/>
      <w:r w:rsidR="00BA12BE">
        <w:rPr>
          <w:iCs/>
          <w:sz w:val="24"/>
          <w:szCs w:val="24"/>
        </w:rPr>
        <w:t>допадекарбоксилазы</w:t>
      </w:r>
      <w:proofErr w:type="spellEnd"/>
      <w:r w:rsidR="00BA12BE">
        <w:rPr>
          <w:iCs/>
          <w:sz w:val="24"/>
          <w:szCs w:val="24"/>
        </w:rPr>
        <w:t>.</w:t>
      </w:r>
    </w:p>
    <w:p w14:paraId="56DC081A" w14:textId="33716CD2" w:rsidR="00BA12BE" w:rsidRPr="00A308D3" w:rsidRDefault="00BA12BE" w:rsidP="00A308D3">
      <w:pPr>
        <w:keepNext/>
        <w:spacing w:after="0" w:line="360" w:lineRule="auto"/>
        <w:ind w:firstLine="709"/>
        <w:jc w:val="both"/>
        <w:rPr>
          <w:i/>
          <w:sz w:val="24"/>
          <w:szCs w:val="24"/>
        </w:rPr>
      </w:pPr>
      <w:r w:rsidRPr="00A308D3">
        <w:rPr>
          <w:i/>
          <w:sz w:val="24"/>
          <w:szCs w:val="24"/>
        </w:rPr>
        <w:t>С препаратами, содержащими фосфаты, соли кальция или ионы железа</w:t>
      </w:r>
    </w:p>
    <w:p w14:paraId="216871A9" w14:textId="46EBE13C" w:rsidR="00BA12BE" w:rsidRDefault="00BA12BE" w:rsidP="001812B4">
      <w:pPr>
        <w:spacing w:after="0" w:line="360" w:lineRule="auto"/>
        <w:ind w:firstLine="708"/>
        <w:jc w:val="both"/>
        <w:rPr>
          <w:iCs/>
          <w:sz w:val="24"/>
          <w:szCs w:val="24"/>
        </w:rPr>
      </w:pPr>
      <w:r>
        <w:rPr>
          <w:iCs/>
          <w:sz w:val="24"/>
          <w:szCs w:val="24"/>
        </w:rPr>
        <w:t>Одновременное применение препаратов, содержащих фосфаты, соли кальция или ионы железа, не рекомендуется, так как такие препараты снижают всасывание магния в кишечнике.</w:t>
      </w:r>
    </w:p>
    <w:p w14:paraId="622CA3FF" w14:textId="468E85C8" w:rsidR="00BA12BE" w:rsidRPr="00A308D3" w:rsidRDefault="00BA12BE" w:rsidP="00A308D3">
      <w:pPr>
        <w:keepNext/>
        <w:spacing w:after="0" w:line="360" w:lineRule="auto"/>
        <w:ind w:firstLine="709"/>
        <w:jc w:val="both"/>
        <w:rPr>
          <w:i/>
          <w:sz w:val="24"/>
          <w:szCs w:val="24"/>
        </w:rPr>
      </w:pPr>
      <w:r w:rsidRPr="00A308D3">
        <w:rPr>
          <w:i/>
          <w:sz w:val="24"/>
          <w:szCs w:val="24"/>
        </w:rPr>
        <w:t>С тетрациклинами (для приема внутрь)</w:t>
      </w:r>
    </w:p>
    <w:p w14:paraId="64AF10FC" w14:textId="45C310F8" w:rsidR="00BA12BE" w:rsidRDefault="00455F21" w:rsidP="001812B4">
      <w:pPr>
        <w:spacing w:after="0" w:line="360" w:lineRule="auto"/>
        <w:ind w:firstLine="708"/>
        <w:jc w:val="both"/>
        <w:rPr>
          <w:iCs/>
          <w:sz w:val="24"/>
          <w:szCs w:val="24"/>
        </w:rPr>
      </w:pPr>
      <w:r>
        <w:rPr>
          <w:iCs/>
          <w:sz w:val="24"/>
          <w:szCs w:val="24"/>
        </w:rPr>
        <w:t>Препарат Витапрайм</w:t>
      </w:r>
      <w:r w:rsidRPr="00455F21">
        <w:rPr>
          <w:iCs/>
          <w:sz w:val="24"/>
          <w:szCs w:val="24"/>
          <w:vertAlign w:val="superscript"/>
        </w:rPr>
        <w:t>®</w:t>
      </w:r>
      <w:r>
        <w:rPr>
          <w:iCs/>
          <w:sz w:val="24"/>
          <w:szCs w:val="24"/>
        </w:rPr>
        <w:t xml:space="preserve"> В6 следует назначать, по крайней мере, не ранее чем через 3 часа после приема тетрациклина внутрь (так как препараты магния уменьшают всасывание тетрациклинов).</w:t>
      </w:r>
    </w:p>
    <w:p w14:paraId="676EC924" w14:textId="5D7A1E08" w:rsidR="00455F21" w:rsidRPr="00A308D3" w:rsidRDefault="00455F21" w:rsidP="00A308D3">
      <w:pPr>
        <w:keepNext/>
        <w:spacing w:after="0" w:line="360" w:lineRule="auto"/>
        <w:ind w:firstLine="709"/>
        <w:jc w:val="both"/>
        <w:rPr>
          <w:i/>
          <w:sz w:val="24"/>
          <w:szCs w:val="24"/>
        </w:rPr>
      </w:pPr>
      <w:r w:rsidRPr="00A308D3">
        <w:rPr>
          <w:i/>
          <w:sz w:val="24"/>
          <w:szCs w:val="24"/>
        </w:rPr>
        <w:t xml:space="preserve">С </w:t>
      </w:r>
      <w:proofErr w:type="spellStart"/>
      <w:r w:rsidRPr="00A308D3">
        <w:rPr>
          <w:i/>
          <w:sz w:val="24"/>
          <w:szCs w:val="24"/>
        </w:rPr>
        <w:t>хинолонами</w:t>
      </w:r>
      <w:proofErr w:type="spellEnd"/>
    </w:p>
    <w:p w14:paraId="6E3883E8" w14:textId="2DA68B65" w:rsidR="00455F21" w:rsidRPr="006927E2" w:rsidRDefault="00455F21" w:rsidP="001812B4">
      <w:pPr>
        <w:spacing w:after="0" w:line="360" w:lineRule="auto"/>
        <w:ind w:firstLine="708"/>
        <w:jc w:val="both"/>
        <w:rPr>
          <w:iCs/>
          <w:sz w:val="24"/>
          <w:szCs w:val="24"/>
        </w:rPr>
      </w:pPr>
      <w:proofErr w:type="spellStart"/>
      <w:r>
        <w:rPr>
          <w:iCs/>
          <w:sz w:val="24"/>
          <w:szCs w:val="24"/>
        </w:rPr>
        <w:t>Хинолоны</w:t>
      </w:r>
      <w:proofErr w:type="spellEnd"/>
      <w:r>
        <w:rPr>
          <w:iCs/>
          <w:sz w:val="24"/>
          <w:szCs w:val="24"/>
        </w:rPr>
        <w:t xml:space="preserve"> следует назначать, по крайней мере, за 2 часа до или через 6 часов после приема препарата Витапрайм</w:t>
      </w:r>
      <w:r w:rsidRPr="00455F21">
        <w:rPr>
          <w:iCs/>
          <w:sz w:val="24"/>
          <w:szCs w:val="24"/>
          <w:vertAlign w:val="superscript"/>
        </w:rPr>
        <w:t>®</w:t>
      </w:r>
      <w:r>
        <w:rPr>
          <w:iCs/>
          <w:sz w:val="24"/>
          <w:szCs w:val="24"/>
        </w:rPr>
        <w:t xml:space="preserve"> В6 для того, чтобы избежать нарушения всасывания </w:t>
      </w:r>
      <w:proofErr w:type="spellStart"/>
      <w:r>
        <w:rPr>
          <w:iCs/>
          <w:sz w:val="24"/>
          <w:szCs w:val="24"/>
        </w:rPr>
        <w:t>хинолонов</w:t>
      </w:r>
      <w:proofErr w:type="spellEnd"/>
      <w:r>
        <w:rPr>
          <w:iCs/>
          <w:sz w:val="24"/>
          <w:szCs w:val="24"/>
        </w:rPr>
        <w:t>.</w:t>
      </w:r>
    </w:p>
    <w:bookmarkEnd w:id="5"/>
    <w:p w14:paraId="2D1F8749" w14:textId="77777777" w:rsidR="00CF3BCE" w:rsidRPr="00DD6B4B" w:rsidRDefault="00CF3BCE" w:rsidP="00A308D3">
      <w:pPr>
        <w:keepNext/>
        <w:spacing w:after="0" w:line="360" w:lineRule="auto"/>
        <w:jc w:val="both"/>
        <w:rPr>
          <w:b/>
          <w:bCs/>
          <w:iCs/>
          <w:sz w:val="24"/>
          <w:szCs w:val="24"/>
        </w:rPr>
      </w:pPr>
      <w:r w:rsidRPr="00DD6B4B">
        <w:rPr>
          <w:b/>
          <w:bCs/>
          <w:iCs/>
          <w:sz w:val="24"/>
          <w:szCs w:val="24"/>
        </w:rPr>
        <w:t>Особые указания</w:t>
      </w:r>
    </w:p>
    <w:p w14:paraId="4DD6C655" w14:textId="15D25EF2" w:rsidR="00CF3BCE" w:rsidRDefault="00A308D3" w:rsidP="00CD06D5">
      <w:pPr>
        <w:spacing w:after="0" w:line="360" w:lineRule="auto"/>
        <w:ind w:firstLine="708"/>
        <w:jc w:val="both"/>
        <w:rPr>
          <w:iCs/>
          <w:sz w:val="24"/>
          <w:szCs w:val="24"/>
        </w:rPr>
      </w:pPr>
      <w:r>
        <w:rPr>
          <w:iCs/>
          <w:sz w:val="24"/>
          <w:szCs w:val="24"/>
        </w:rPr>
        <w:t>Препарат в форме таблеток предназначен только для взрослых и детей старше 6 лет.</w:t>
      </w:r>
    </w:p>
    <w:p w14:paraId="263EA5AC" w14:textId="77777777" w:rsidR="00A308D3" w:rsidRDefault="00A308D3" w:rsidP="00CD06D5">
      <w:pPr>
        <w:spacing w:after="0" w:line="360" w:lineRule="auto"/>
        <w:ind w:firstLine="708"/>
        <w:jc w:val="both"/>
        <w:rPr>
          <w:iCs/>
          <w:sz w:val="24"/>
          <w:szCs w:val="24"/>
        </w:rPr>
      </w:pPr>
      <w:r>
        <w:rPr>
          <w:iCs/>
          <w:sz w:val="24"/>
          <w:szCs w:val="24"/>
        </w:rPr>
        <w:t xml:space="preserve">В случае тяжелой степени дефицита магния или синдрома </w:t>
      </w:r>
      <w:proofErr w:type="spellStart"/>
      <w:r>
        <w:rPr>
          <w:iCs/>
          <w:sz w:val="24"/>
          <w:szCs w:val="24"/>
        </w:rPr>
        <w:t>мальабсорбции</w:t>
      </w:r>
      <w:proofErr w:type="spellEnd"/>
      <w:r>
        <w:rPr>
          <w:iCs/>
          <w:sz w:val="24"/>
          <w:szCs w:val="24"/>
        </w:rPr>
        <w:t>, лечение начинают с внутривенного введения препаратов магния.</w:t>
      </w:r>
    </w:p>
    <w:p w14:paraId="772EBEE8" w14:textId="77777777" w:rsidR="000B420D" w:rsidRDefault="00A308D3" w:rsidP="00CD06D5">
      <w:pPr>
        <w:spacing w:after="0" w:line="360" w:lineRule="auto"/>
        <w:ind w:firstLine="708"/>
        <w:jc w:val="both"/>
        <w:rPr>
          <w:iCs/>
          <w:sz w:val="24"/>
          <w:szCs w:val="24"/>
        </w:rPr>
      </w:pPr>
      <w:r>
        <w:rPr>
          <w:iCs/>
          <w:sz w:val="24"/>
          <w:szCs w:val="24"/>
        </w:rPr>
        <w:t>В случае сопутствующего дефицита кальция, рекомендуется устранить дефицит магни</w:t>
      </w:r>
      <w:r w:rsidR="000B420D">
        <w:rPr>
          <w:iCs/>
          <w:sz w:val="24"/>
          <w:szCs w:val="24"/>
        </w:rPr>
        <w:t>я до начала приема препаратов кальция или пищевых добавок, содержащих кальций.</w:t>
      </w:r>
    </w:p>
    <w:p w14:paraId="2F5F7BFE" w14:textId="77777777" w:rsidR="00620AF5" w:rsidRDefault="00620AF5" w:rsidP="00CD06D5">
      <w:pPr>
        <w:spacing w:after="0" w:line="360" w:lineRule="auto"/>
        <w:ind w:firstLine="708"/>
        <w:jc w:val="both"/>
        <w:rPr>
          <w:iCs/>
          <w:sz w:val="24"/>
          <w:szCs w:val="24"/>
        </w:rPr>
      </w:pPr>
      <w:r>
        <w:rPr>
          <w:iCs/>
          <w:sz w:val="24"/>
          <w:szCs w:val="24"/>
        </w:rPr>
        <w:t>При частом употреблении слабительных средств, алкоголя, напряженных физических и психических нагрузках потребность в магнии возрастает, что может привести к развитию дефицита магния в организме.</w:t>
      </w:r>
    </w:p>
    <w:p w14:paraId="429128B4" w14:textId="6E949041" w:rsidR="00A308D3" w:rsidRPr="00CF3BCE" w:rsidRDefault="002A7744" w:rsidP="00CD06D5">
      <w:pPr>
        <w:spacing w:after="0" w:line="360" w:lineRule="auto"/>
        <w:ind w:firstLine="708"/>
        <w:jc w:val="both"/>
        <w:rPr>
          <w:iCs/>
          <w:sz w:val="24"/>
          <w:szCs w:val="24"/>
        </w:rPr>
      </w:pPr>
      <w:r>
        <w:rPr>
          <w:iCs/>
          <w:sz w:val="24"/>
          <w:szCs w:val="24"/>
        </w:rPr>
        <w:t xml:space="preserve">При применении пиридоксина в высоких дозах (более 200 мг в сутки) в течение длительного времени (в течение нескольких месяцев или лет) может развиться сенсорная аксональная нейропатия (основной симптом хронической передозировки пиридоксина), которая сопровождается такими симптомами, как онемение, нарушения проприоцептивной чувствительности, тремор дистальных отделов конечностей и постепенно развивающаяся </w:t>
      </w:r>
      <w:r>
        <w:rPr>
          <w:iCs/>
          <w:sz w:val="24"/>
          <w:szCs w:val="24"/>
        </w:rPr>
        <w:lastRenderedPageBreak/>
        <w:t>сенсорная атаксия (нарушения координации движений). Эти нарушения обычно являются обратимыми и проходят после прекращения приема пиридоксина.</w:t>
      </w:r>
      <w:r w:rsidR="00A308D3">
        <w:rPr>
          <w:iCs/>
          <w:sz w:val="24"/>
          <w:szCs w:val="24"/>
        </w:rPr>
        <w:t xml:space="preserve"> </w:t>
      </w:r>
    </w:p>
    <w:p w14:paraId="438379C7" w14:textId="77777777" w:rsidR="00CF3BCE" w:rsidRPr="002223C7" w:rsidRDefault="00CF3BCE" w:rsidP="00CD2AB4">
      <w:pPr>
        <w:keepNext/>
        <w:spacing w:after="0" w:line="360" w:lineRule="auto"/>
        <w:jc w:val="both"/>
        <w:rPr>
          <w:b/>
          <w:bCs/>
          <w:iCs/>
          <w:sz w:val="24"/>
          <w:szCs w:val="24"/>
        </w:rPr>
      </w:pPr>
      <w:r w:rsidRPr="002223C7">
        <w:rPr>
          <w:b/>
          <w:bCs/>
          <w:iCs/>
          <w:sz w:val="24"/>
          <w:szCs w:val="24"/>
        </w:rPr>
        <w:t>Влияние на способность управлять транспортными средствами, механизмами</w:t>
      </w:r>
    </w:p>
    <w:p w14:paraId="776C77A4" w14:textId="5EA1E857" w:rsidR="00566F22" w:rsidRDefault="00CD06D5" w:rsidP="00CD06D5">
      <w:pPr>
        <w:shd w:val="clear" w:color="auto" w:fill="FFFFFF"/>
        <w:spacing w:after="0" w:line="360" w:lineRule="auto"/>
        <w:ind w:firstLine="709"/>
        <w:jc w:val="both"/>
        <w:rPr>
          <w:iCs/>
          <w:sz w:val="24"/>
          <w:szCs w:val="24"/>
        </w:rPr>
      </w:pPr>
      <w:r>
        <w:rPr>
          <w:iCs/>
          <w:sz w:val="24"/>
          <w:szCs w:val="24"/>
        </w:rPr>
        <w:t>Не влияет.</w:t>
      </w:r>
    </w:p>
    <w:p w14:paraId="1923E1B5" w14:textId="45EEDBA1" w:rsidR="00CD1251" w:rsidRPr="00213F2D" w:rsidRDefault="00CD1251" w:rsidP="00566F22">
      <w:pPr>
        <w:shd w:val="clear" w:color="auto" w:fill="FFFFFF"/>
        <w:spacing w:after="0" w:line="360" w:lineRule="auto"/>
        <w:jc w:val="both"/>
        <w:rPr>
          <w:b/>
          <w:bCs/>
          <w:sz w:val="24"/>
          <w:szCs w:val="24"/>
        </w:rPr>
      </w:pPr>
      <w:r w:rsidRPr="00213F2D">
        <w:rPr>
          <w:b/>
          <w:bCs/>
          <w:sz w:val="24"/>
          <w:szCs w:val="24"/>
        </w:rPr>
        <w:t>Форма выпуска</w:t>
      </w:r>
    </w:p>
    <w:p w14:paraId="23C5A1BE" w14:textId="4FA2EDD0" w:rsidR="00A068B9" w:rsidRDefault="00A068B9" w:rsidP="002223C7">
      <w:pPr>
        <w:pStyle w:val="Default"/>
        <w:spacing w:line="360" w:lineRule="auto"/>
        <w:ind w:firstLine="708"/>
        <w:jc w:val="both"/>
        <w:rPr>
          <w:bCs/>
          <w:color w:val="auto"/>
        </w:rPr>
      </w:pPr>
      <w:r>
        <w:rPr>
          <w:bCs/>
          <w:color w:val="auto"/>
        </w:rPr>
        <w:t>Таблетки, покрытые пленочной оболочкой, 48 мг + 5 мг.</w:t>
      </w:r>
    </w:p>
    <w:p w14:paraId="19CEFC76" w14:textId="383D53D3" w:rsidR="002223C7" w:rsidRPr="002223C7" w:rsidRDefault="002223C7" w:rsidP="002223C7">
      <w:pPr>
        <w:pStyle w:val="Default"/>
        <w:spacing w:line="360" w:lineRule="auto"/>
        <w:ind w:firstLine="708"/>
        <w:jc w:val="both"/>
        <w:rPr>
          <w:bCs/>
          <w:color w:val="auto"/>
        </w:rPr>
      </w:pPr>
      <w:r w:rsidRPr="002223C7">
        <w:rPr>
          <w:bCs/>
          <w:color w:val="auto"/>
        </w:rPr>
        <w:t>По 10 таблеток в контурную ячейковую упаковку из пленки поливинилхлоридной и фольги алюминиевой.</w:t>
      </w:r>
    </w:p>
    <w:p w14:paraId="34B7FAB5" w14:textId="018A248D" w:rsidR="002223C7" w:rsidRPr="002223C7" w:rsidRDefault="002223C7" w:rsidP="002223C7">
      <w:pPr>
        <w:pStyle w:val="Default"/>
        <w:spacing w:line="360" w:lineRule="auto"/>
        <w:ind w:firstLine="708"/>
        <w:jc w:val="both"/>
        <w:rPr>
          <w:bCs/>
          <w:color w:val="auto"/>
        </w:rPr>
      </w:pPr>
      <w:r w:rsidRPr="002223C7">
        <w:rPr>
          <w:bCs/>
          <w:color w:val="auto"/>
        </w:rPr>
        <w:t xml:space="preserve">По 1, 2, 3, 4, 5, 6, 12 контурных ячейковых упаковок вместе с инструкцией по </w:t>
      </w:r>
      <w:r w:rsidR="005163B8">
        <w:rPr>
          <w:bCs/>
          <w:color w:val="auto"/>
        </w:rPr>
        <w:t xml:space="preserve">медицинскому </w:t>
      </w:r>
      <w:r w:rsidRPr="002223C7">
        <w:rPr>
          <w:bCs/>
          <w:color w:val="auto"/>
        </w:rPr>
        <w:t>применению помещают в пачку из картона.</w:t>
      </w:r>
    </w:p>
    <w:p w14:paraId="0032A071" w14:textId="77777777" w:rsidR="00834614" w:rsidRPr="002223C7" w:rsidRDefault="00834614" w:rsidP="00834614">
      <w:pPr>
        <w:pStyle w:val="Default"/>
        <w:spacing w:line="360" w:lineRule="auto"/>
        <w:ind w:firstLine="709"/>
        <w:jc w:val="both"/>
        <w:rPr>
          <w:bCs/>
          <w:color w:val="auto"/>
        </w:rPr>
      </w:pPr>
      <w:r w:rsidRPr="002223C7">
        <w:rPr>
          <w:bCs/>
          <w:color w:val="auto"/>
        </w:rPr>
        <w:t>По 50 таблеток в банки темного стекла в комплекте с крышкой навинчиваемой из полиэтилена</w:t>
      </w:r>
      <w:r>
        <w:rPr>
          <w:bCs/>
          <w:color w:val="auto"/>
        </w:rPr>
        <w:t xml:space="preserve"> ВД</w:t>
      </w:r>
      <w:r w:rsidRPr="002223C7">
        <w:rPr>
          <w:bCs/>
          <w:color w:val="auto"/>
        </w:rPr>
        <w:t>.</w:t>
      </w:r>
    </w:p>
    <w:p w14:paraId="4C7B597D" w14:textId="0A62014D" w:rsidR="00073B6F" w:rsidRPr="00213F2D" w:rsidRDefault="002223C7" w:rsidP="002223C7">
      <w:pPr>
        <w:pStyle w:val="Default"/>
        <w:spacing w:line="360" w:lineRule="auto"/>
        <w:ind w:firstLine="708"/>
        <w:jc w:val="both"/>
        <w:rPr>
          <w:bCs/>
          <w:color w:val="auto"/>
        </w:rPr>
      </w:pPr>
      <w:r w:rsidRPr="002223C7">
        <w:rPr>
          <w:bCs/>
          <w:color w:val="auto"/>
        </w:rPr>
        <w:t>1 банку вместе с инструкцией по</w:t>
      </w:r>
      <w:r w:rsidR="005163B8">
        <w:rPr>
          <w:bCs/>
          <w:color w:val="auto"/>
        </w:rPr>
        <w:t xml:space="preserve"> медицинскому</w:t>
      </w:r>
      <w:r w:rsidRPr="002223C7">
        <w:rPr>
          <w:bCs/>
          <w:color w:val="auto"/>
        </w:rPr>
        <w:t xml:space="preserve"> применению помещают в пачку из картона.</w:t>
      </w:r>
    </w:p>
    <w:p w14:paraId="3324FDF5" w14:textId="77777777" w:rsidR="009973A8" w:rsidRPr="00213F2D" w:rsidRDefault="0094732C" w:rsidP="00C97A34">
      <w:pPr>
        <w:pStyle w:val="Default"/>
        <w:spacing w:line="360" w:lineRule="auto"/>
        <w:jc w:val="both"/>
        <w:rPr>
          <w:b/>
          <w:bCs/>
          <w:color w:val="auto"/>
        </w:rPr>
      </w:pPr>
      <w:r w:rsidRPr="00213F2D">
        <w:rPr>
          <w:b/>
          <w:bCs/>
          <w:color w:val="auto"/>
        </w:rPr>
        <w:t>Условия хранения</w:t>
      </w:r>
    </w:p>
    <w:p w14:paraId="2D2F68E9" w14:textId="58D1E4E2" w:rsidR="009973A8" w:rsidRPr="00213F2D" w:rsidRDefault="00073B6F" w:rsidP="00C97A34">
      <w:pPr>
        <w:pStyle w:val="Default"/>
        <w:spacing w:line="360" w:lineRule="auto"/>
        <w:ind w:firstLine="708"/>
        <w:jc w:val="both"/>
        <w:rPr>
          <w:color w:val="auto"/>
        </w:rPr>
      </w:pPr>
      <w:r w:rsidRPr="00213F2D">
        <w:rPr>
          <w:color w:val="auto"/>
        </w:rPr>
        <w:t>П</w:t>
      </w:r>
      <w:r w:rsidR="0053385F" w:rsidRPr="00213F2D">
        <w:rPr>
          <w:color w:val="auto"/>
        </w:rPr>
        <w:t>ри температуре не выше 25 °С, в оригинальной упаковке</w:t>
      </w:r>
      <w:r w:rsidR="0039272F">
        <w:rPr>
          <w:color w:val="auto"/>
        </w:rPr>
        <w:t xml:space="preserve"> (в пачке картонной)</w:t>
      </w:r>
      <w:r w:rsidR="0053385F" w:rsidRPr="00213F2D">
        <w:rPr>
          <w:color w:val="auto"/>
        </w:rPr>
        <w:t>.</w:t>
      </w:r>
    </w:p>
    <w:p w14:paraId="0ED8825F" w14:textId="77777777" w:rsidR="009973A8" w:rsidRPr="00213F2D" w:rsidRDefault="009973A8" w:rsidP="00C97A34">
      <w:pPr>
        <w:spacing w:after="0" w:line="360" w:lineRule="auto"/>
        <w:ind w:firstLine="708"/>
        <w:jc w:val="both"/>
        <w:rPr>
          <w:sz w:val="24"/>
          <w:szCs w:val="24"/>
        </w:rPr>
      </w:pPr>
      <w:r w:rsidRPr="00213F2D">
        <w:rPr>
          <w:sz w:val="24"/>
          <w:szCs w:val="24"/>
        </w:rPr>
        <w:t>Хранить в недоступном для детей месте.</w:t>
      </w:r>
    </w:p>
    <w:p w14:paraId="230E342E" w14:textId="77777777" w:rsidR="00073B6F" w:rsidRPr="00213F2D" w:rsidRDefault="00073B6F" w:rsidP="00073B6F">
      <w:pPr>
        <w:pStyle w:val="Default"/>
        <w:spacing w:line="360" w:lineRule="auto"/>
        <w:jc w:val="both"/>
        <w:rPr>
          <w:b/>
          <w:bCs/>
          <w:color w:val="auto"/>
        </w:rPr>
      </w:pPr>
      <w:r w:rsidRPr="00213F2D">
        <w:rPr>
          <w:b/>
          <w:bCs/>
          <w:color w:val="auto"/>
        </w:rPr>
        <w:t>Срок годности</w:t>
      </w:r>
    </w:p>
    <w:p w14:paraId="72F48EFE" w14:textId="4CA40570" w:rsidR="00073B6F" w:rsidRPr="00213F2D" w:rsidRDefault="002223C7" w:rsidP="00073B6F">
      <w:pPr>
        <w:pStyle w:val="a4"/>
        <w:spacing w:before="0" w:beforeAutospacing="0" w:after="0" w:afterAutospacing="0" w:line="360" w:lineRule="auto"/>
        <w:ind w:firstLine="708"/>
        <w:jc w:val="both"/>
        <w:rPr>
          <w:lang w:bidi="he-IL"/>
        </w:rPr>
      </w:pPr>
      <w:r>
        <w:t>3</w:t>
      </w:r>
      <w:r w:rsidR="00073B6F" w:rsidRPr="00213F2D">
        <w:t xml:space="preserve"> года. Не применять по истечении срока годности.</w:t>
      </w:r>
    </w:p>
    <w:p w14:paraId="2B1E8EA6" w14:textId="77777777" w:rsidR="0094732C" w:rsidRPr="00213F2D" w:rsidRDefault="0094732C" w:rsidP="00C97A34">
      <w:pPr>
        <w:pStyle w:val="Default"/>
        <w:spacing w:line="360" w:lineRule="auto"/>
        <w:jc w:val="both"/>
        <w:rPr>
          <w:b/>
          <w:bCs/>
          <w:color w:val="auto"/>
        </w:rPr>
      </w:pPr>
      <w:r w:rsidRPr="00213F2D">
        <w:rPr>
          <w:b/>
          <w:bCs/>
          <w:color w:val="auto"/>
        </w:rPr>
        <w:t>Условия отпуска</w:t>
      </w:r>
    </w:p>
    <w:p w14:paraId="4E535131" w14:textId="66A8F89A" w:rsidR="005D6542" w:rsidRDefault="00566F22" w:rsidP="00C97A34">
      <w:pPr>
        <w:pStyle w:val="Default"/>
        <w:spacing w:line="360" w:lineRule="auto"/>
        <w:ind w:firstLine="708"/>
        <w:jc w:val="both"/>
        <w:rPr>
          <w:bCs/>
          <w:color w:val="auto"/>
        </w:rPr>
      </w:pPr>
      <w:r>
        <w:rPr>
          <w:bCs/>
          <w:color w:val="auto"/>
        </w:rPr>
        <w:t>Без рецепта.</w:t>
      </w:r>
    </w:p>
    <w:p w14:paraId="515C65FD" w14:textId="09679757" w:rsidR="000E4BF9" w:rsidRPr="00213F2D" w:rsidRDefault="008F7EA8" w:rsidP="000E4BF9">
      <w:pPr>
        <w:spacing w:after="0" w:line="360" w:lineRule="auto"/>
        <w:jc w:val="both"/>
        <w:rPr>
          <w:b/>
          <w:sz w:val="24"/>
          <w:szCs w:val="24"/>
        </w:rPr>
      </w:pPr>
      <w:r w:rsidRPr="008F7EA8">
        <w:rPr>
          <w:b/>
          <w:bCs/>
          <w:sz w:val="24"/>
          <w:szCs w:val="24"/>
        </w:rPr>
        <w:t>Владелец регистрационного удостоверения / Производитель / Организация, принимающая претензии от потребителей</w:t>
      </w:r>
      <w:r>
        <w:rPr>
          <w:b/>
          <w:sz w:val="24"/>
          <w:szCs w:val="24"/>
        </w:rPr>
        <w:t xml:space="preserve"> </w:t>
      </w:r>
    </w:p>
    <w:p w14:paraId="60C17DF7" w14:textId="77777777" w:rsidR="000E4BF9" w:rsidRPr="00213F2D" w:rsidRDefault="000E4BF9" w:rsidP="000E4BF9">
      <w:pPr>
        <w:spacing w:after="0" w:line="360" w:lineRule="auto"/>
        <w:ind w:firstLine="709"/>
        <w:jc w:val="both"/>
        <w:rPr>
          <w:sz w:val="24"/>
          <w:szCs w:val="24"/>
        </w:rPr>
      </w:pPr>
      <w:r w:rsidRPr="00213F2D">
        <w:rPr>
          <w:sz w:val="24"/>
          <w:szCs w:val="24"/>
        </w:rPr>
        <w:t xml:space="preserve">ООО НПО «ФармВИЛАР», Россия, </w:t>
      </w:r>
    </w:p>
    <w:p w14:paraId="7A0A4B83" w14:textId="6A38B966" w:rsidR="000E4BF9" w:rsidRPr="00213F2D" w:rsidRDefault="00200093" w:rsidP="000E4BF9">
      <w:pPr>
        <w:spacing w:after="0" w:line="360" w:lineRule="auto"/>
        <w:ind w:firstLine="709"/>
        <w:jc w:val="both"/>
        <w:rPr>
          <w:sz w:val="24"/>
          <w:szCs w:val="24"/>
        </w:rPr>
      </w:pPr>
      <w:r w:rsidRPr="00213F2D">
        <w:rPr>
          <w:sz w:val="24"/>
          <w:szCs w:val="24"/>
        </w:rPr>
        <w:t>249096, Калужская обл</w:t>
      </w:r>
      <w:r w:rsidR="008F7EA8">
        <w:rPr>
          <w:sz w:val="24"/>
          <w:szCs w:val="24"/>
        </w:rPr>
        <w:t>.</w:t>
      </w:r>
      <w:r w:rsidRPr="00213F2D">
        <w:rPr>
          <w:sz w:val="24"/>
          <w:szCs w:val="24"/>
        </w:rPr>
        <w:t>,</w:t>
      </w:r>
      <w:r>
        <w:rPr>
          <w:sz w:val="24"/>
          <w:szCs w:val="24"/>
        </w:rPr>
        <w:t xml:space="preserve"> Малоярославецкий район,</w:t>
      </w:r>
      <w:r w:rsidRPr="00213F2D">
        <w:rPr>
          <w:sz w:val="24"/>
          <w:szCs w:val="24"/>
        </w:rPr>
        <w:t xml:space="preserve"> г. Малоярославец, ул.</w:t>
      </w:r>
      <w:r>
        <w:rPr>
          <w:sz w:val="24"/>
          <w:szCs w:val="24"/>
        </w:rPr>
        <w:t> </w:t>
      </w:r>
      <w:r w:rsidRPr="00213F2D">
        <w:rPr>
          <w:sz w:val="24"/>
          <w:szCs w:val="24"/>
        </w:rPr>
        <w:t>Коммунистическая</w:t>
      </w:r>
      <w:r w:rsidR="008F7EA8">
        <w:rPr>
          <w:sz w:val="24"/>
          <w:szCs w:val="24"/>
        </w:rPr>
        <w:t>,</w:t>
      </w:r>
      <w:r w:rsidRPr="00213F2D">
        <w:rPr>
          <w:sz w:val="24"/>
          <w:szCs w:val="24"/>
        </w:rPr>
        <w:t xml:space="preserve"> д. 115</w:t>
      </w:r>
    </w:p>
    <w:p w14:paraId="30AA66E7" w14:textId="1B961A46" w:rsidR="00964F43" w:rsidRPr="00213F2D" w:rsidRDefault="000E4BF9" w:rsidP="008F7EA8">
      <w:pPr>
        <w:spacing w:after="0" w:line="360" w:lineRule="auto"/>
        <w:ind w:firstLine="709"/>
        <w:jc w:val="both"/>
        <w:rPr>
          <w:sz w:val="24"/>
          <w:szCs w:val="24"/>
        </w:rPr>
      </w:pPr>
      <w:r w:rsidRPr="00213F2D">
        <w:rPr>
          <w:sz w:val="24"/>
          <w:szCs w:val="24"/>
        </w:rPr>
        <w:t>Тел./факс: + 7 (48431) 2</w:t>
      </w:r>
      <w:r w:rsidR="00FB7104">
        <w:rPr>
          <w:sz w:val="24"/>
          <w:szCs w:val="24"/>
        </w:rPr>
        <w:t>-</w:t>
      </w:r>
      <w:r w:rsidRPr="00213F2D">
        <w:rPr>
          <w:sz w:val="24"/>
          <w:szCs w:val="24"/>
        </w:rPr>
        <w:t>27</w:t>
      </w:r>
      <w:r w:rsidR="00FB7104">
        <w:rPr>
          <w:sz w:val="24"/>
          <w:szCs w:val="24"/>
        </w:rPr>
        <w:t>-</w:t>
      </w:r>
      <w:r w:rsidRPr="00213F2D">
        <w:rPr>
          <w:sz w:val="24"/>
          <w:szCs w:val="24"/>
        </w:rPr>
        <w:t>18</w:t>
      </w:r>
    </w:p>
    <w:sectPr w:rsidR="00964F43" w:rsidRPr="00213F2D" w:rsidSect="00AB22E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E01D" w14:textId="77777777" w:rsidR="007B206C" w:rsidRDefault="007B206C" w:rsidP="001E492C">
      <w:pPr>
        <w:spacing w:after="0" w:line="240" w:lineRule="auto"/>
      </w:pPr>
      <w:r>
        <w:separator/>
      </w:r>
    </w:p>
  </w:endnote>
  <w:endnote w:type="continuationSeparator" w:id="0">
    <w:p w14:paraId="1DDA7AAB" w14:textId="77777777" w:rsidR="007B206C" w:rsidRDefault="007B206C" w:rsidP="001E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E05A" w14:textId="77777777" w:rsidR="007B206C" w:rsidRDefault="007B206C" w:rsidP="001E492C">
      <w:pPr>
        <w:spacing w:after="0" w:line="240" w:lineRule="auto"/>
      </w:pPr>
      <w:r>
        <w:separator/>
      </w:r>
    </w:p>
  </w:footnote>
  <w:footnote w:type="continuationSeparator" w:id="0">
    <w:p w14:paraId="6ABD40D0" w14:textId="77777777" w:rsidR="007B206C" w:rsidRDefault="007B206C" w:rsidP="001E4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502"/>
      <w:docPartObj>
        <w:docPartGallery w:val="Page Numbers (Top of Page)"/>
        <w:docPartUnique/>
      </w:docPartObj>
    </w:sdtPr>
    <w:sdtEndPr>
      <w:rPr>
        <w:sz w:val="24"/>
        <w:szCs w:val="24"/>
      </w:rPr>
    </w:sdtEndPr>
    <w:sdtContent>
      <w:p w14:paraId="28A4DED3" w14:textId="77777777" w:rsidR="000815B9" w:rsidRDefault="000815B9">
        <w:pPr>
          <w:pStyle w:val="a6"/>
          <w:jc w:val="right"/>
        </w:pPr>
        <w:r w:rsidRPr="00964F43">
          <w:rPr>
            <w:sz w:val="24"/>
            <w:szCs w:val="24"/>
          </w:rPr>
          <w:fldChar w:fldCharType="begin"/>
        </w:r>
        <w:r w:rsidRPr="00964F43">
          <w:rPr>
            <w:sz w:val="24"/>
            <w:szCs w:val="24"/>
          </w:rPr>
          <w:instrText xml:space="preserve"> PAGE   \* MERGEFORMAT </w:instrText>
        </w:r>
        <w:r w:rsidRPr="00964F43">
          <w:rPr>
            <w:sz w:val="24"/>
            <w:szCs w:val="24"/>
          </w:rPr>
          <w:fldChar w:fldCharType="separate"/>
        </w:r>
        <w:r w:rsidR="00213F2D">
          <w:rPr>
            <w:noProof/>
            <w:sz w:val="24"/>
            <w:szCs w:val="24"/>
          </w:rPr>
          <w:t>12</w:t>
        </w:r>
        <w:r w:rsidRPr="00964F43">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5CC"/>
    <w:multiLevelType w:val="hybridMultilevel"/>
    <w:tmpl w:val="E8B4E3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4225E1B"/>
    <w:multiLevelType w:val="hybridMultilevel"/>
    <w:tmpl w:val="7E96C9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AE67060"/>
    <w:multiLevelType w:val="hybridMultilevel"/>
    <w:tmpl w:val="DC8A25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7EA28E8"/>
    <w:multiLevelType w:val="hybridMultilevel"/>
    <w:tmpl w:val="78EA08A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 w15:restartNumberingAfterBreak="0">
    <w:nsid w:val="5F6A3616"/>
    <w:multiLevelType w:val="hybridMultilevel"/>
    <w:tmpl w:val="AAA4EC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564221037">
    <w:abstractNumId w:val="3"/>
  </w:num>
  <w:num w:numId="2" w16cid:durableId="2092387220">
    <w:abstractNumId w:val="2"/>
  </w:num>
  <w:num w:numId="3" w16cid:durableId="321929581">
    <w:abstractNumId w:val="1"/>
  </w:num>
  <w:num w:numId="4" w16cid:durableId="801341254">
    <w:abstractNumId w:val="4"/>
  </w:num>
  <w:num w:numId="5" w16cid:durableId="185075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42"/>
    <w:rsid w:val="0000599D"/>
    <w:rsid w:val="00016F0F"/>
    <w:rsid w:val="0003467F"/>
    <w:rsid w:val="00036CD7"/>
    <w:rsid w:val="00043729"/>
    <w:rsid w:val="00066FE7"/>
    <w:rsid w:val="00073B6F"/>
    <w:rsid w:val="000815B9"/>
    <w:rsid w:val="000844D9"/>
    <w:rsid w:val="00090344"/>
    <w:rsid w:val="000915E3"/>
    <w:rsid w:val="00092004"/>
    <w:rsid w:val="000A1529"/>
    <w:rsid w:val="000A2694"/>
    <w:rsid w:val="000B420D"/>
    <w:rsid w:val="000C147F"/>
    <w:rsid w:val="000D496C"/>
    <w:rsid w:val="000E0796"/>
    <w:rsid w:val="000E3AF3"/>
    <w:rsid w:val="000E4BF9"/>
    <w:rsid w:val="000E6734"/>
    <w:rsid w:val="000E771A"/>
    <w:rsid w:val="000F5B26"/>
    <w:rsid w:val="000F6989"/>
    <w:rsid w:val="000F7830"/>
    <w:rsid w:val="0010134D"/>
    <w:rsid w:val="001018C9"/>
    <w:rsid w:val="001057A0"/>
    <w:rsid w:val="00116DD5"/>
    <w:rsid w:val="00122CA4"/>
    <w:rsid w:val="001278E3"/>
    <w:rsid w:val="0013155A"/>
    <w:rsid w:val="00143814"/>
    <w:rsid w:val="0014773B"/>
    <w:rsid w:val="00164514"/>
    <w:rsid w:val="00164D3C"/>
    <w:rsid w:val="00175F17"/>
    <w:rsid w:val="001812B4"/>
    <w:rsid w:val="00185DC7"/>
    <w:rsid w:val="00191999"/>
    <w:rsid w:val="001943CA"/>
    <w:rsid w:val="0019637F"/>
    <w:rsid w:val="001A0699"/>
    <w:rsid w:val="001B2D48"/>
    <w:rsid w:val="001B4A21"/>
    <w:rsid w:val="001B78BB"/>
    <w:rsid w:val="001C5025"/>
    <w:rsid w:val="001C7FE3"/>
    <w:rsid w:val="001D366B"/>
    <w:rsid w:val="001D61F3"/>
    <w:rsid w:val="001D7FAD"/>
    <w:rsid w:val="001E2922"/>
    <w:rsid w:val="001E492C"/>
    <w:rsid w:val="001F36A7"/>
    <w:rsid w:val="00200093"/>
    <w:rsid w:val="00200651"/>
    <w:rsid w:val="00201B42"/>
    <w:rsid w:val="00212983"/>
    <w:rsid w:val="00213F2D"/>
    <w:rsid w:val="002214BF"/>
    <w:rsid w:val="002223C7"/>
    <w:rsid w:val="00227116"/>
    <w:rsid w:val="00241CC8"/>
    <w:rsid w:val="00257545"/>
    <w:rsid w:val="0027187C"/>
    <w:rsid w:val="002A7744"/>
    <w:rsid w:val="002C128A"/>
    <w:rsid w:val="002C182D"/>
    <w:rsid w:val="002C6B7B"/>
    <w:rsid w:val="002D4C04"/>
    <w:rsid w:val="002E0516"/>
    <w:rsid w:val="002E17CF"/>
    <w:rsid w:val="002E58F4"/>
    <w:rsid w:val="002E7DD2"/>
    <w:rsid w:val="002F372F"/>
    <w:rsid w:val="002F436A"/>
    <w:rsid w:val="002F4DD0"/>
    <w:rsid w:val="00305C7D"/>
    <w:rsid w:val="0031752E"/>
    <w:rsid w:val="00327D93"/>
    <w:rsid w:val="0035189C"/>
    <w:rsid w:val="003626D1"/>
    <w:rsid w:val="00370257"/>
    <w:rsid w:val="003730C5"/>
    <w:rsid w:val="003730D9"/>
    <w:rsid w:val="003863CE"/>
    <w:rsid w:val="00391046"/>
    <w:rsid w:val="00391D51"/>
    <w:rsid w:val="0039272F"/>
    <w:rsid w:val="00393C5B"/>
    <w:rsid w:val="003A3460"/>
    <w:rsid w:val="003B3817"/>
    <w:rsid w:val="003B4206"/>
    <w:rsid w:val="003B527D"/>
    <w:rsid w:val="003C16EF"/>
    <w:rsid w:val="003D1358"/>
    <w:rsid w:val="003D2FE0"/>
    <w:rsid w:val="003E7DD1"/>
    <w:rsid w:val="003F35C8"/>
    <w:rsid w:val="003F5956"/>
    <w:rsid w:val="003F6F3F"/>
    <w:rsid w:val="004023F3"/>
    <w:rsid w:val="00404509"/>
    <w:rsid w:val="004058C7"/>
    <w:rsid w:val="00407A63"/>
    <w:rsid w:val="00417998"/>
    <w:rsid w:val="00421FAB"/>
    <w:rsid w:val="0042372C"/>
    <w:rsid w:val="00432E65"/>
    <w:rsid w:val="00437648"/>
    <w:rsid w:val="00446988"/>
    <w:rsid w:val="00455F21"/>
    <w:rsid w:val="00490FD7"/>
    <w:rsid w:val="0049262D"/>
    <w:rsid w:val="00493C22"/>
    <w:rsid w:val="00496B2D"/>
    <w:rsid w:val="004A41C9"/>
    <w:rsid w:val="004B2FFF"/>
    <w:rsid w:val="004B3787"/>
    <w:rsid w:val="004D1B5C"/>
    <w:rsid w:val="004E287D"/>
    <w:rsid w:val="004F5208"/>
    <w:rsid w:val="005015C5"/>
    <w:rsid w:val="00503771"/>
    <w:rsid w:val="00507C05"/>
    <w:rsid w:val="0051346C"/>
    <w:rsid w:val="005163B8"/>
    <w:rsid w:val="00522975"/>
    <w:rsid w:val="0052302F"/>
    <w:rsid w:val="00530764"/>
    <w:rsid w:val="0053385F"/>
    <w:rsid w:val="00536DB7"/>
    <w:rsid w:val="005433FC"/>
    <w:rsid w:val="00544B66"/>
    <w:rsid w:val="0054578E"/>
    <w:rsid w:val="00546B10"/>
    <w:rsid w:val="00550A9A"/>
    <w:rsid w:val="005544D6"/>
    <w:rsid w:val="00566F22"/>
    <w:rsid w:val="0057273A"/>
    <w:rsid w:val="0057398D"/>
    <w:rsid w:val="00576FAA"/>
    <w:rsid w:val="00577B8A"/>
    <w:rsid w:val="005A4076"/>
    <w:rsid w:val="005B2131"/>
    <w:rsid w:val="005B60AF"/>
    <w:rsid w:val="005B7211"/>
    <w:rsid w:val="005C171C"/>
    <w:rsid w:val="005C4321"/>
    <w:rsid w:val="005C4B80"/>
    <w:rsid w:val="005D13B8"/>
    <w:rsid w:val="005D3728"/>
    <w:rsid w:val="005D6542"/>
    <w:rsid w:val="005E15BA"/>
    <w:rsid w:val="005E6C2C"/>
    <w:rsid w:val="005F325D"/>
    <w:rsid w:val="00620AF5"/>
    <w:rsid w:val="006303CA"/>
    <w:rsid w:val="0063525F"/>
    <w:rsid w:val="006367A6"/>
    <w:rsid w:val="0063769E"/>
    <w:rsid w:val="00653F65"/>
    <w:rsid w:val="0065680C"/>
    <w:rsid w:val="006815E3"/>
    <w:rsid w:val="0068208B"/>
    <w:rsid w:val="00691E2C"/>
    <w:rsid w:val="006927E2"/>
    <w:rsid w:val="006A36DA"/>
    <w:rsid w:val="006A77AC"/>
    <w:rsid w:val="006C1960"/>
    <w:rsid w:val="006C1D9C"/>
    <w:rsid w:val="006C4226"/>
    <w:rsid w:val="006C676D"/>
    <w:rsid w:val="006D0677"/>
    <w:rsid w:val="006D3277"/>
    <w:rsid w:val="006E1AB6"/>
    <w:rsid w:val="0070590C"/>
    <w:rsid w:val="00715836"/>
    <w:rsid w:val="0073662A"/>
    <w:rsid w:val="00740DA7"/>
    <w:rsid w:val="00750D8F"/>
    <w:rsid w:val="00755352"/>
    <w:rsid w:val="00756AF3"/>
    <w:rsid w:val="00762CAC"/>
    <w:rsid w:val="007736E3"/>
    <w:rsid w:val="00774B07"/>
    <w:rsid w:val="00775318"/>
    <w:rsid w:val="00795519"/>
    <w:rsid w:val="007B09B3"/>
    <w:rsid w:val="007B206C"/>
    <w:rsid w:val="007B4A26"/>
    <w:rsid w:val="007D5496"/>
    <w:rsid w:val="007F0DAC"/>
    <w:rsid w:val="007F226B"/>
    <w:rsid w:val="00822AF2"/>
    <w:rsid w:val="008253DA"/>
    <w:rsid w:val="00832E3A"/>
    <w:rsid w:val="00834614"/>
    <w:rsid w:val="008422BA"/>
    <w:rsid w:val="008521BE"/>
    <w:rsid w:val="00871D50"/>
    <w:rsid w:val="008756C8"/>
    <w:rsid w:val="00884BF0"/>
    <w:rsid w:val="008B4CF1"/>
    <w:rsid w:val="008C1FE8"/>
    <w:rsid w:val="008C2F21"/>
    <w:rsid w:val="008C3E4C"/>
    <w:rsid w:val="008C5274"/>
    <w:rsid w:val="008C5DB8"/>
    <w:rsid w:val="008E0C38"/>
    <w:rsid w:val="008F1E44"/>
    <w:rsid w:val="008F7EA8"/>
    <w:rsid w:val="00901C8D"/>
    <w:rsid w:val="00910A90"/>
    <w:rsid w:val="00912E20"/>
    <w:rsid w:val="00914EB0"/>
    <w:rsid w:val="00917AC4"/>
    <w:rsid w:val="00931690"/>
    <w:rsid w:val="00931820"/>
    <w:rsid w:val="0093218B"/>
    <w:rsid w:val="0094732C"/>
    <w:rsid w:val="00950843"/>
    <w:rsid w:val="00964F43"/>
    <w:rsid w:val="0098670C"/>
    <w:rsid w:val="0098762F"/>
    <w:rsid w:val="00993226"/>
    <w:rsid w:val="009973A8"/>
    <w:rsid w:val="009B71A9"/>
    <w:rsid w:val="009B73C9"/>
    <w:rsid w:val="009B76D6"/>
    <w:rsid w:val="009C1FDD"/>
    <w:rsid w:val="009C69A4"/>
    <w:rsid w:val="009E2537"/>
    <w:rsid w:val="009E29E8"/>
    <w:rsid w:val="009F5467"/>
    <w:rsid w:val="00A068B9"/>
    <w:rsid w:val="00A17070"/>
    <w:rsid w:val="00A20B9D"/>
    <w:rsid w:val="00A22FE0"/>
    <w:rsid w:val="00A308D3"/>
    <w:rsid w:val="00A321D5"/>
    <w:rsid w:val="00A33A95"/>
    <w:rsid w:val="00A44A2D"/>
    <w:rsid w:val="00A53803"/>
    <w:rsid w:val="00A54801"/>
    <w:rsid w:val="00A56DF8"/>
    <w:rsid w:val="00A56EAB"/>
    <w:rsid w:val="00A71FBC"/>
    <w:rsid w:val="00A752D5"/>
    <w:rsid w:val="00A7738D"/>
    <w:rsid w:val="00A861B0"/>
    <w:rsid w:val="00A863EB"/>
    <w:rsid w:val="00A90AFB"/>
    <w:rsid w:val="00AA7272"/>
    <w:rsid w:val="00AB14FF"/>
    <w:rsid w:val="00AB22ED"/>
    <w:rsid w:val="00AB7AAA"/>
    <w:rsid w:val="00AD5599"/>
    <w:rsid w:val="00AD6425"/>
    <w:rsid w:val="00AE70AC"/>
    <w:rsid w:val="00AF1E1C"/>
    <w:rsid w:val="00B1321B"/>
    <w:rsid w:val="00B16040"/>
    <w:rsid w:val="00B20497"/>
    <w:rsid w:val="00B21D9F"/>
    <w:rsid w:val="00B336C0"/>
    <w:rsid w:val="00B377FA"/>
    <w:rsid w:val="00B674AF"/>
    <w:rsid w:val="00B70557"/>
    <w:rsid w:val="00B84E89"/>
    <w:rsid w:val="00B91F37"/>
    <w:rsid w:val="00B9407F"/>
    <w:rsid w:val="00B94D42"/>
    <w:rsid w:val="00B9630C"/>
    <w:rsid w:val="00BA0D77"/>
    <w:rsid w:val="00BA12BE"/>
    <w:rsid w:val="00BA243F"/>
    <w:rsid w:val="00BA6C27"/>
    <w:rsid w:val="00BD37EF"/>
    <w:rsid w:val="00BE0923"/>
    <w:rsid w:val="00BE2D35"/>
    <w:rsid w:val="00BF15E8"/>
    <w:rsid w:val="00BF2534"/>
    <w:rsid w:val="00BF642B"/>
    <w:rsid w:val="00C15683"/>
    <w:rsid w:val="00C168AD"/>
    <w:rsid w:val="00C1692B"/>
    <w:rsid w:val="00C211BA"/>
    <w:rsid w:val="00C219AF"/>
    <w:rsid w:val="00C21D23"/>
    <w:rsid w:val="00C33AF9"/>
    <w:rsid w:val="00C4580E"/>
    <w:rsid w:val="00C46511"/>
    <w:rsid w:val="00C54877"/>
    <w:rsid w:val="00C63D1F"/>
    <w:rsid w:val="00C65EC3"/>
    <w:rsid w:val="00C732FF"/>
    <w:rsid w:val="00C75CEE"/>
    <w:rsid w:val="00C81E9B"/>
    <w:rsid w:val="00C938AB"/>
    <w:rsid w:val="00C96336"/>
    <w:rsid w:val="00C9634B"/>
    <w:rsid w:val="00C97A34"/>
    <w:rsid w:val="00CA3D7A"/>
    <w:rsid w:val="00CA4452"/>
    <w:rsid w:val="00CC0393"/>
    <w:rsid w:val="00CD06D5"/>
    <w:rsid w:val="00CD076B"/>
    <w:rsid w:val="00CD1251"/>
    <w:rsid w:val="00CD2AB4"/>
    <w:rsid w:val="00CF3BCE"/>
    <w:rsid w:val="00CF439F"/>
    <w:rsid w:val="00CF69DD"/>
    <w:rsid w:val="00D10AA6"/>
    <w:rsid w:val="00D16A33"/>
    <w:rsid w:val="00D22A16"/>
    <w:rsid w:val="00D257CD"/>
    <w:rsid w:val="00D33679"/>
    <w:rsid w:val="00D57326"/>
    <w:rsid w:val="00D7716E"/>
    <w:rsid w:val="00D92A1D"/>
    <w:rsid w:val="00D94512"/>
    <w:rsid w:val="00DA499A"/>
    <w:rsid w:val="00DA6476"/>
    <w:rsid w:val="00DB1A5E"/>
    <w:rsid w:val="00DB625E"/>
    <w:rsid w:val="00DB66CC"/>
    <w:rsid w:val="00DB75FE"/>
    <w:rsid w:val="00DD6B4B"/>
    <w:rsid w:val="00DE7A36"/>
    <w:rsid w:val="00E0290D"/>
    <w:rsid w:val="00E159B5"/>
    <w:rsid w:val="00E31867"/>
    <w:rsid w:val="00E32663"/>
    <w:rsid w:val="00E37C3B"/>
    <w:rsid w:val="00E4673A"/>
    <w:rsid w:val="00E509BE"/>
    <w:rsid w:val="00E51C14"/>
    <w:rsid w:val="00E55E74"/>
    <w:rsid w:val="00E67FA2"/>
    <w:rsid w:val="00E87ED7"/>
    <w:rsid w:val="00E923FE"/>
    <w:rsid w:val="00E9345B"/>
    <w:rsid w:val="00E93BEF"/>
    <w:rsid w:val="00E967CF"/>
    <w:rsid w:val="00E96B25"/>
    <w:rsid w:val="00EA68F7"/>
    <w:rsid w:val="00EA75BF"/>
    <w:rsid w:val="00EB5298"/>
    <w:rsid w:val="00EB6EF1"/>
    <w:rsid w:val="00EC2B07"/>
    <w:rsid w:val="00EC4851"/>
    <w:rsid w:val="00ED1D73"/>
    <w:rsid w:val="00ED5362"/>
    <w:rsid w:val="00EE2A6A"/>
    <w:rsid w:val="00EE5663"/>
    <w:rsid w:val="00EE6FB4"/>
    <w:rsid w:val="00EF7DD3"/>
    <w:rsid w:val="00F0146F"/>
    <w:rsid w:val="00F07A1B"/>
    <w:rsid w:val="00F10FD5"/>
    <w:rsid w:val="00F13400"/>
    <w:rsid w:val="00F1706B"/>
    <w:rsid w:val="00F65508"/>
    <w:rsid w:val="00F66663"/>
    <w:rsid w:val="00F8230D"/>
    <w:rsid w:val="00F912FE"/>
    <w:rsid w:val="00F93962"/>
    <w:rsid w:val="00F94011"/>
    <w:rsid w:val="00FB7104"/>
    <w:rsid w:val="00FC0591"/>
    <w:rsid w:val="00FC5F6A"/>
    <w:rsid w:val="00FE4901"/>
    <w:rsid w:val="00FF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34AC"/>
  <w15:docId w15:val="{FBA95051-E9F5-48C7-8ACF-96A5B20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542"/>
    <w:rPr>
      <w:rFonts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6542"/>
    <w:pPr>
      <w:autoSpaceDE w:val="0"/>
      <w:autoSpaceDN w:val="0"/>
      <w:adjustRightInd w:val="0"/>
      <w:spacing w:after="0" w:line="240" w:lineRule="auto"/>
    </w:pPr>
    <w:rPr>
      <w:rFonts w:cs="Times New Roman"/>
      <w:color w:val="000000"/>
      <w:sz w:val="24"/>
      <w:szCs w:val="24"/>
    </w:rPr>
  </w:style>
  <w:style w:type="paragraph" w:customStyle="1" w:styleId="a3">
    <w:name w:val="Осн. текст"/>
    <w:basedOn w:val="a"/>
    <w:rsid w:val="005D6542"/>
    <w:pPr>
      <w:spacing w:after="0" w:line="360" w:lineRule="atLeast"/>
      <w:ind w:firstLine="425"/>
      <w:jc w:val="both"/>
    </w:pPr>
    <w:rPr>
      <w:rFonts w:eastAsia="Times New Roman"/>
      <w:sz w:val="26"/>
      <w:szCs w:val="20"/>
      <w:lang w:eastAsia="ru-RU"/>
    </w:rPr>
  </w:style>
  <w:style w:type="paragraph" w:styleId="a4">
    <w:name w:val="Normal (Web)"/>
    <w:basedOn w:val="a"/>
    <w:uiPriority w:val="99"/>
    <w:unhideWhenUsed/>
    <w:rsid w:val="005D6542"/>
    <w:pPr>
      <w:spacing w:before="100" w:beforeAutospacing="1" w:after="100" w:afterAutospacing="1" w:line="240" w:lineRule="auto"/>
    </w:pPr>
    <w:rPr>
      <w:rFonts w:eastAsia="Times New Roman"/>
      <w:sz w:val="24"/>
      <w:szCs w:val="24"/>
      <w:lang w:eastAsia="ru-RU"/>
    </w:rPr>
  </w:style>
  <w:style w:type="paragraph" w:styleId="a5">
    <w:name w:val="List Paragraph"/>
    <w:basedOn w:val="a"/>
    <w:uiPriority w:val="34"/>
    <w:qFormat/>
    <w:rsid w:val="005D6542"/>
    <w:pPr>
      <w:ind w:left="720"/>
      <w:contextualSpacing/>
    </w:pPr>
  </w:style>
  <w:style w:type="paragraph" w:styleId="a6">
    <w:name w:val="header"/>
    <w:basedOn w:val="a"/>
    <w:link w:val="a7"/>
    <w:uiPriority w:val="99"/>
    <w:unhideWhenUsed/>
    <w:rsid w:val="001E49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492C"/>
    <w:rPr>
      <w:rFonts w:cs="Times New Roman"/>
      <w:szCs w:val="28"/>
    </w:rPr>
  </w:style>
  <w:style w:type="paragraph" w:styleId="a8">
    <w:name w:val="footer"/>
    <w:basedOn w:val="a"/>
    <w:link w:val="a9"/>
    <w:uiPriority w:val="99"/>
    <w:unhideWhenUsed/>
    <w:rsid w:val="001E49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492C"/>
    <w:rPr>
      <w:rFonts w:cs="Times New Roman"/>
      <w:szCs w:val="28"/>
    </w:rPr>
  </w:style>
  <w:style w:type="paragraph" w:styleId="aa">
    <w:name w:val="Body Text"/>
    <w:basedOn w:val="a"/>
    <w:link w:val="ab"/>
    <w:rsid w:val="00F13400"/>
    <w:pPr>
      <w:spacing w:after="0" w:line="240" w:lineRule="auto"/>
    </w:pPr>
    <w:rPr>
      <w:rFonts w:eastAsia="Times New Roman"/>
      <w:szCs w:val="20"/>
      <w:lang w:eastAsia="ru-RU"/>
    </w:rPr>
  </w:style>
  <w:style w:type="character" w:customStyle="1" w:styleId="ab">
    <w:name w:val="Основной текст Знак"/>
    <w:basedOn w:val="a0"/>
    <w:link w:val="aa"/>
    <w:rsid w:val="00F13400"/>
    <w:rPr>
      <w:rFonts w:eastAsia="Times New Roman" w:cs="Times New Roman"/>
      <w:szCs w:val="20"/>
      <w:lang w:eastAsia="ru-RU"/>
    </w:rPr>
  </w:style>
  <w:style w:type="character" w:styleId="ac">
    <w:name w:val="Placeholder Text"/>
    <w:basedOn w:val="a0"/>
    <w:uiPriority w:val="99"/>
    <w:semiHidden/>
    <w:rsid w:val="00D92A1D"/>
    <w:rPr>
      <w:color w:val="808080"/>
    </w:rPr>
  </w:style>
  <w:style w:type="paragraph" w:styleId="ad">
    <w:name w:val="Balloon Text"/>
    <w:basedOn w:val="a"/>
    <w:link w:val="ae"/>
    <w:uiPriority w:val="99"/>
    <w:semiHidden/>
    <w:unhideWhenUsed/>
    <w:rsid w:val="00D92A1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92A1D"/>
    <w:rPr>
      <w:rFonts w:ascii="Tahoma" w:hAnsi="Tahoma" w:cs="Tahoma"/>
      <w:sz w:val="16"/>
      <w:szCs w:val="16"/>
    </w:rPr>
  </w:style>
  <w:style w:type="character" w:styleId="af">
    <w:name w:val="annotation reference"/>
    <w:basedOn w:val="a0"/>
    <w:uiPriority w:val="99"/>
    <w:semiHidden/>
    <w:unhideWhenUsed/>
    <w:rsid w:val="00E67FA2"/>
    <w:rPr>
      <w:sz w:val="16"/>
      <w:szCs w:val="16"/>
    </w:rPr>
  </w:style>
  <w:style w:type="paragraph" w:styleId="af0">
    <w:name w:val="annotation text"/>
    <w:basedOn w:val="a"/>
    <w:link w:val="af1"/>
    <w:uiPriority w:val="99"/>
    <w:semiHidden/>
    <w:unhideWhenUsed/>
    <w:rsid w:val="00E67FA2"/>
    <w:pPr>
      <w:spacing w:line="240" w:lineRule="auto"/>
    </w:pPr>
    <w:rPr>
      <w:sz w:val="20"/>
      <w:szCs w:val="20"/>
    </w:rPr>
  </w:style>
  <w:style w:type="character" w:customStyle="1" w:styleId="af1">
    <w:name w:val="Текст примечания Знак"/>
    <w:basedOn w:val="a0"/>
    <w:link w:val="af0"/>
    <w:uiPriority w:val="99"/>
    <w:semiHidden/>
    <w:rsid w:val="00E67FA2"/>
    <w:rPr>
      <w:rFonts w:cs="Times New Roman"/>
      <w:sz w:val="20"/>
      <w:szCs w:val="20"/>
    </w:rPr>
  </w:style>
  <w:style w:type="paragraph" w:styleId="af2">
    <w:name w:val="annotation subject"/>
    <w:basedOn w:val="af0"/>
    <w:next w:val="af0"/>
    <w:link w:val="af3"/>
    <w:uiPriority w:val="99"/>
    <w:semiHidden/>
    <w:unhideWhenUsed/>
    <w:rsid w:val="00E67FA2"/>
    <w:rPr>
      <w:b/>
      <w:bCs/>
    </w:rPr>
  </w:style>
  <w:style w:type="character" w:customStyle="1" w:styleId="af3">
    <w:name w:val="Тема примечания Знак"/>
    <w:basedOn w:val="af1"/>
    <w:link w:val="af2"/>
    <w:uiPriority w:val="99"/>
    <w:semiHidden/>
    <w:rsid w:val="00E67FA2"/>
    <w:rPr>
      <w:rFonts w:cs="Times New Roman"/>
      <w:b/>
      <w:bCs/>
      <w:sz w:val="20"/>
      <w:szCs w:val="20"/>
    </w:rPr>
  </w:style>
  <w:style w:type="paragraph" w:styleId="af4">
    <w:name w:val="Revision"/>
    <w:hidden/>
    <w:uiPriority w:val="99"/>
    <w:semiHidden/>
    <w:rsid w:val="003D2FE0"/>
    <w:pPr>
      <w:spacing w:after="0" w:line="240" w:lineRule="auto"/>
    </w:pPr>
    <w:rPr>
      <w:rFonts w:cs="Times New Roman"/>
      <w:szCs w:val="28"/>
    </w:rPr>
  </w:style>
  <w:style w:type="character" w:customStyle="1" w:styleId="1">
    <w:name w:val="Основной текст Знак1"/>
    <w:basedOn w:val="a0"/>
    <w:uiPriority w:val="99"/>
    <w:locked/>
    <w:rsid w:val="003F6F3F"/>
    <w:rPr>
      <w:rFonts w:ascii="Times New Roman" w:hAnsi="Times New Roman" w:cs="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200">
      <w:bodyDiv w:val="1"/>
      <w:marLeft w:val="0"/>
      <w:marRight w:val="0"/>
      <w:marTop w:val="0"/>
      <w:marBottom w:val="0"/>
      <w:divBdr>
        <w:top w:val="none" w:sz="0" w:space="0" w:color="auto"/>
        <w:left w:val="none" w:sz="0" w:space="0" w:color="auto"/>
        <w:bottom w:val="none" w:sz="0" w:space="0" w:color="auto"/>
        <w:right w:val="none" w:sz="0" w:space="0" w:color="auto"/>
      </w:divBdr>
      <w:divsChild>
        <w:div w:id="1268537794">
          <w:marLeft w:val="0"/>
          <w:marRight w:val="0"/>
          <w:marTop w:val="0"/>
          <w:marBottom w:val="0"/>
          <w:divBdr>
            <w:top w:val="none" w:sz="0" w:space="0" w:color="auto"/>
            <w:left w:val="none" w:sz="0" w:space="0" w:color="auto"/>
            <w:bottom w:val="none" w:sz="0" w:space="0" w:color="auto"/>
            <w:right w:val="single" w:sz="4" w:space="0" w:color="000000"/>
          </w:divBdr>
        </w:div>
      </w:divsChild>
    </w:div>
    <w:div w:id="447163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2594">
          <w:marLeft w:val="0"/>
          <w:marRight w:val="0"/>
          <w:marTop w:val="0"/>
          <w:marBottom w:val="0"/>
          <w:divBdr>
            <w:top w:val="none" w:sz="0" w:space="0" w:color="auto"/>
            <w:left w:val="none" w:sz="0" w:space="0" w:color="auto"/>
            <w:bottom w:val="none" w:sz="0" w:space="0" w:color="auto"/>
            <w:right w:val="single" w:sz="4" w:space="0" w:color="000000"/>
          </w:divBdr>
        </w:div>
      </w:divsChild>
    </w:div>
    <w:div w:id="1103189233">
      <w:bodyDiv w:val="1"/>
      <w:marLeft w:val="0"/>
      <w:marRight w:val="0"/>
      <w:marTop w:val="0"/>
      <w:marBottom w:val="0"/>
      <w:divBdr>
        <w:top w:val="none" w:sz="0" w:space="0" w:color="auto"/>
        <w:left w:val="none" w:sz="0" w:space="0" w:color="auto"/>
        <w:bottom w:val="none" w:sz="0" w:space="0" w:color="auto"/>
        <w:right w:val="none" w:sz="0" w:space="0" w:color="auto"/>
      </w:divBdr>
    </w:div>
    <w:div w:id="1270971616">
      <w:bodyDiv w:val="1"/>
      <w:marLeft w:val="0"/>
      <w:marRight w:val="0"/>
      <w:marTop w:val="0"/>
      <w:marBottom w:val="0"/>
      <w:divBdr>
        <w:top w:val="none" w:sz="0" w:space="0" w:color="auto"/>
        <w:left w:val="none" w:sz="0" w:space="0" w:color="auto"/>
        <w:bottom w:val="none" w:sz="0" w:space="0" w:color="auto"/>
        <w:right w:val="none" w:sz="0" w:space="0" w:color="auto"/>
      </w:divBdr>
      <w:divsChild>
        <w:div w:id="1552573806">
          <w:marLeft w:val="0"/>
          <w:marRight w:val="0"/>
          <w:marTop w:val="0"/>
          <w:marBottom w:val="0"/>
          <w:divBdr>
            <w:top w:val="none" w:sz="0" w:space="0" w:color="auto"/>
            <w:left w:val="none" w:sz="0" w:space="0" w:color="auto"/>
            <w:bottom w:val="none" w:sz="0" w:space="0" w:color="auto"/>
            <w:right w:val="single" w:sz="4" w:space="0" w:color="000000"/>
          </w:divBdr>
        </w:div>
      </w:divsChild>
    </w:div>
    <w:div w:id="1435708201">
      <w:bodyDiv w:val="1"/>
      <w:marLeft w:val="0"/>
      <w:marRight w:val="0"/>
      <w:marTop w:val="0"/>
      <w:marBottom w:val="0"/>
      <w:divBdr>
        <w:top w:val="none" w:sz="0" w:space="0" w:color="auto"/>
        <w:left w:val="none" w:sz="0" w:space="0" w:color="auto"/>
        <w:bottom w:val="none" w:sz="0" w:space="0" w:color="auto"/>
        <w:right w:val="none" w:sz="0" w:space="0" w:color="auto"/>
      </w:divBdr>
      <w:divsChild>
        <w:div w:id="70736484">
          <w:marLeft w:val="0"/>
          <w:marRight w:val="0"/>
          <w:marTop w:val="0"/>
          <w:marBottom w:val="0"/>
          <w:divBdr>
            <w:top w:val="none" w:sz="0" w:space="0" w:color="auto"/>
            <w:left w:val="none" w:sz="0" w:space="0" w:color="auto"/>
            <w:bottom w:val="none" w:sz="0" w:space="0" w:color="auto"/>
            <w:right w:val="single" w:sz="4" w:space="0" w:color="000000"/>
          </w:divBdr>
        </w:div>
      </w:divsChild>
    </w:div>
    <w:div w:id="1642999487">
      <w:bodyDiv w:val="1"/>
      <w:marLeft w:val="0"/>
      <w:marRight w:val="0"/>
      <w:marTop w:val="0"/>
      <w:marBottom w:val="0"/>
      <w:divBdr>
        <w:top w:val="none" w:sz="0" w:space="0" w:color="auto"/>
        <w:left w:val="none" w:sz="0" w:space="0" w:color="auto"/>
        <w:bottom w:val="none" w:sz="0" w:space="0" w:color="auto"/>
        <w:right w:val="none" w:sz="0" w:space="0" w:color="auto"/>
      </w:divBdr>
      <w:divsChild>
        <w:div w:id="1763914054">
          <w:marLeft w:val="0"/>
          <w:marRight w:val="0"/>
          <w:marTop w:val="0"/>
          <w:marBottom w:val="0"/>
          <w:divBdr>
            <w:top w:val="none" w:sz="0" w:space="0" w:color="auto"/>
            <w:left w:val="none" w:sz="0" w:space="0" w:color="auto"/>
            <w:bottom w:val="none" w:sz="0" w:space="0" w:color="auto"/>
            <w:right w:val="single" w:sz="4" w:space="0" w:color="000000"/>
          </w:divBdr>
        </w:div>
      </w:divsChild>
    </w:div>
    <w:div w:id="1651862749">
      <w:bodyDiv w:val="1"/>
      <w:marLeft w:val="0"/>
      <w:marRight w:val="0"/>
      <w:marTop w:val="0"/>
      <w:marBottom w:val="0"/>
      <w:divBdr>
        <w:top w:val="none" w:sz="0" w:space="0" w:color="auto"/>
        <w:left w:val="none" w:sz="0" w:space="0" w:color="auto"/>
        <w:bottom w:val="none" w:sz="0" w:space="0" w:color="auto"/>
        <w:right w:val="none" w:sz="0" w:space="0" w:color="auto"/>
      </w:divBdr>
      <w:divsChild>
        <w:div w:id="566888277">
          <w:marLeft w:val="0"/>
          <w:marRight w:val="0"/>
          <w:marTop w:val="0"/>
          <w:marBottom w:val="0"/>
          <w:divBdr>
            <w:top w:val="none" w:sz="0" w:space="0" w:color="auto"/>
            <w:left w:val="none" w:sz="0" w:space="0" w:color="auto"/>
            <w:bottom w:val="none" w:sz="0" w:space="0" w:color="auto"/>
            <w:right w:val="single" w:sz="4" w:space="0" w:color="000000"/>
          </w:divBdr>
        </w:div>
      </w:divsChild>
    </w:div>
    <w:div w:id="1812476968">
      <w:bodyDiv w:val="1"/>
      <w:marLeft w:val="0"/>
      <w:marRight w:val="0"/>
      <w:marTop w:val="0"/>
      <w:marBottom w:val="0"/>
      <w:divBdr>
        <w:top w:val="none" w:sz="0" w:space="0" w:color="auto"/>
        <w:left w:val="none" w:sz="0" w:space="0" w:color="auto"/>
        <w:bottom w:val="none" w:sz="0" w:space="0" w:color="auto"/>
        <w:right w:val="none" w:sz="0" w:space="0" w:color="auto"/>
      </w:divBdr>
      <w:divsChild>
        <w:div w:id="1957255193">
          <w:marLeft w:val="0"/>
          <w:marRight w:val="0"/>
          <w:marTop w:val="0"/>
          <w:marBottom w:val="0"/>
          <w:divBdr>
            <w:top w:val="none" w:sz="0" w:space="0" w:color="auto"/>
            <w:left w:val="none" w:sz="0" w:space="0" w:color="auto"/>
            <w:bottom w:val="none" w:sz="0" w:space="0" w:color="auto"/>
            <w:right w:val="single" w:sz="4" w:space="0" w:color="000000"/>
          </w:divBdr>
        </w:div>
      </w:divsChild>
    </w:div>
    <w:div w:id="1848397074">
      <w:bodyDiv w:val="1"/>
      <w:marLeft w:val="0"/>
      <w:marRight w:val="0"/>
      <w:marTop w:val="0"/>
      <w:marBottom w:val="0"/>
      <w:divBdr>
        <w:top w:val="none" w:sz="0" w:space="0" w:color="auto"/>
        <w:left w:val="none" w:sz="0" w:space="0" w:color="auto"/>
        <w:bottom w:val="none" w:sz="0" w:space="0" w:color="auto"/>
        <w:right w:val="none" w:sz="0" w:space="0" w:color="auto"/>
      </w:divBdr>
      <w:divsChild>
        <w:div w:id="676200674">
          <w:marLeft w:val="0"/>
          <w:marRight w:val="0"/>
          <w:marTop w:val="0"/>
          <w:marBottom w:val="0"/>
          <w:divBdr>
            <w:top w:val="none" w:sz="0" w:space="0" w:color="auto"/>
            <w:left w:val="none" w:sz="0" w:space="0" w:color="auto"/>
            <w:bottom w:val="none" w:sz="0" w:space="0" w:color="auto"/>
            <w:right w:val="single" w:sz="4" w:space="0" w:color="000000"/>
          </w:divBdr>
        </w:div>
      </w:divsChild>
    </w:div>
    <w:div w:id="1888107306">
      <w:bodyDiv w:val="1"/>
      <w:marLeft w:val="0"/>
      <w:marRight w:val="0"/>
      <w:marTop w:val="0"/>
      <w:marBottom w:val="0"/>
      <w:divBdr>
        <w:top w:val="none" w:sz="0" w:space="0" w:color="auto"/>
        <w:left w:val="none" w:sz="0" w:space="0" w:color="auto"/>
        <w:bottom w:val="none" w:sz="0" w:space="0" w:color="auto"/>
        <w:right w:val="none" w:sz="0" w:space="0" w:color="auto"/>
      </w:divBdr>
      <w:divsChild>
        <w:div w:id="1842815668">
          <w:marLeft w:val="0"/>
          <w:marRight w:val="0"/>
          <w:marTop w:val="0"/>
          <w:marBottom w:val="0"/>
          <w:divBdr>
            <w:top w:val="none" w:sz="0" w:space="0" w:color="auto"/>
            <w:left w:val="none" w:sz="0" w:space="0" w:color="auto"/>
            <w:bottom w:val="none" w:sz="0" w:space="0" w:color="auto"/>
            <w:right w:val="single" w:sz="4"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D29C-61B3-4BF3-B8F1-2EC04BEE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Zdorovie</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dc:creator>
  <cp:keywords/>
  <dc:description/>
  <cp:lastModifiedBy>Роман Бушмин</cp:lastModifiedBy>
  <cp:revision>2</cp:revision>
  <cp:lastPrinted>2020-02-19T14:03:00Z</cp:lastPrinted>
  <dcterms:created xsi:type="dcterms:W3CDTF">2025-07-31T07:36:00Z</dcterms:created>
  <dcterms:modified xsi:type="dcterms:W3CDTF">2025-07-31T07:36:00Z</dcterms:modified>
</cp:coreProperties>
</file>